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45EF9794"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100bis</w:t>
      </w:r>
      <w:r w:rsidR="00905B0B">
        <w:rPr>
          <w:b/>
          <w:bCs/>
          <w:sz w:val="24"/>
          <w:szCs w:val="24"/>
          <w:lang w:eastAsia="ko-KR"/>
        </w:rPr>
        <w:t>-e</w:t>
      </w:r>
      <w:r w:rsidRPr="00423B8B">
        <w:rPr>
          <w:rFonts w:hint="eastAsia"/>
          <w:b/>
          <w:sz w:val="24"/>
          <w:szCs w:val="24"/>
          <w:lang w:eastAsia="ko-KR"/>
        </w:rPr>
        <w:tab/>
      </w:r>
      <w:r w:rsidR="00595A7F" w:rsidRPr="00595A7F">
        <w:rPr>
          <w:b/>
          <w:sz w:val="24"/>
          <w:szCs w:val="24"/>
          <w:lang w:eastAsia="ko-KR"/>
        </w:rPr>
        <w:t>R1-2002157</w:t>
      </w:r>
    </w:p>
    <w:bookmarkEnd w:id="0"/>
    <w:bookmarkEnd w:id="1"/>
    <w:p w14:paraId="2735BAC9" w14:textId="71963463" w:rsidR="006D2ED0" w:rsidRPr="00423B8B" w:rsidRDefault="0034235C" w:rsidP="0082116C">
      <w:pPr>
        <w:pStyle w:val="CRCoverPage"/>
        <w:spacing w:after="240"/>
        <w:outlineLvl w:val="0"/>
        <w:rPr>
          <w:b/>
          <w:bCs/>
          <w:noProof/>
          <w:sz w:val="24"/>
          <w:szCs w:val="24"/>
          <w:lang w:eastAsia="ko-KR"/>
        </w:rPr>
      </w:pPr>
      <w:r>
        <w:rPr>
          <w:b/>
          <w:bCs/>
          <w:noProof/>
          <w:sz w:val="24"/>
          <w:szCs w:val="24"/>
          <w:lang w:eastAsia="ko-KR"/>
        </w:rPr>
        <w:t>e-Meeting</w:t>
      </w:r>
      <w:r w:rsidR="00F864AB" w:rsidRPr="00F864AB">
        <w:rPr>
          <w:b/>
          <w:bCs/>
          <w:noProof/>
          <w:sz w:val="24"/>
          <w:szCs w:val="24"/>
          <w:lang w:eastAsia="ko-KR"/>
        </w:rPr>
        <w:t xml:space="preserve">, </w:t>
      </w:r>
      <w:r>
        <w:rPr>
          <w:b/>
          <w:bCs/>
          <w:noProof/>
          <w:sz w:val="24"/>
          <w:szCs w:val="24"/>
          <w:lang w:eastAsia="ko-KR"/>
        </w:rPr>
        <w:t>April 20</w:t>
      </w:r>
      <w:r w:rsidRPr="0034235C">
        <w:rPr>
          <w:b/>
          <w:bCs/>
          <w:noProof/>
          <w:sz w:val="24"/>
          <w:szCs w:val="24"/>
          <w:vertAlign w:val="superscript"/>
          <w:lang w:eastAsia="ko-KR"/>
        </w:rPr>
        <w:t>th</w:t>
      </w:r>
      <w:r>
        <w:rPr>
          <w:b/>
          <w:bCs/>
          <w:noProof/>
          <w:sz w:val="24"/>
          <w:szCs w:val="24"/>
          <w:lang w:eastAsia="ko-KR"/>
        </w:rPr>
        <w:t xml:space="preserve"> – 30</w:t>
      </w:r>
      <w:r w:rsidRPr="0034235C">
        <w:rPr>
          <w:b/>
          <w:bCs/>
          <w:noProof/>
          <w:sz w:val="24"/>
          <w:szCs w:val="24"/>
          <w:vertAlign w:val="superscript"/>
          <w:lang w:eastAsia="ko-KR"/>
        </w:rPr>
        <w:t>th</w:t>
      </w:r>
      <w:r>
        <w:rPr>
          <w:b/>
          <w:bCs/>
          <w:noProof/>
          <w:sz w:val="24"/>
          <w:szCs w:val="24"/>
          <w:lang w:eastAsia="ko-KR"/>
        </w:rPr>
        <w:t xml:space="preserve"> </w:t>
      </w:r>
    </w:p>
    <w:p w14:paraId="534B7880" w14:textId="39087E32"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856065" w:rsidRPr="00423B8B">
        <w:rPr>
          <w:rFonts w:ascii="Arial" w:hAnsi="Arial"/>
          <w:sz w:val="24"/>
        </w:rPr>
        <w:t>7</w:t>
      </w:r>
      <w:r w:rsidR="00860D8F" w:rsidRPr="00423B8B">
        <w:rPr>
          <w:rFonts w:ascii="Arial" w:hAnsi="Arial"/>
          <w:sz w:val="24"/>
        </w:rPr>
        <w:t>.</w:t>
      </w:r>
      <w:r w:rsidR="00AB6396" w:rsidRPr="00423B8B">
        <w:rPr>
          <w:rFonts w:ascii="Arial" w:hAnsi="Arial"/>
          <w:sz w:val="24"/>
        </w:rPr>
        <w:t>2.</w:t>
      </w:r>
      <w:r w:rsidR="00A1787C" w:rsidRPr="00423B8B">
        <w:rPr>
          <w:rFonts w:ascii="Arial" w:hAnsi="Arial"/>
          <w:sz w:val="24"/>
        </w:rPr>
        <w:t>1</w:t>
      </w:r>
      <w:r w:rsidR="0034235C">
        <w:rPr>
          <w:rFonts w:ascii="Arial" w:hAnsi="Arial"/>
          <w:sz w:val="24"/>
        </w:rPr>
        <w:t>1.9</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CC9BBB2"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4235C" w:rsidRPr="0034235C">
        <w:rPr>
          <w:rFonts w:ascii="Arial" w:hAnsi="Arial"/>
          <w:sz w:val="24"/>
        </w:rPr>
        <w:t>UE features for NR mobility enhancement</w:t>
      </w:r>
      <w:r w:rsidR="00A1787C" w:rsidRPr="00A1787C">
        <w:rPr>
          <w:rFonts w:ascii="Arial" w:hAnsi="Arial"/>
          <w:sz w:val="24"/>
        </w:rPr>
        <w:t xml:space="preserve">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A1D9E72" w14:textId="18B61E9A" w:rsidR="004F6F02" w:rsidRDefault="00423B8B" w:rsidP="001D4EA6">
      <w:pPr>
        <w:spacing w:before="288" w:line="288" w:lineRule="auto"/>
        <w:jc w:val="both"/>
      </w:pPr>
      <w:r>
        <w:rPr>
          <w:rFonts w:hint="eastAsia"/>
          <w:lang w:eastAsia="ko-KR"/>
        </w:rPr>
        <w:t xml:space="preserve">In this contribution, the </w:t>
      </w:r>
      <w:r w:rsidR="00CB1658">
        <w:rPr>
          <w:lang w:eastAsia="ko-KR"/>
        </w:rPr>
        <w:t xml:space="preserve">remaining UE feature issues for NR mobility enhancement </w:t>
      </w:r>
      <w:r>
        <w:t xml:space="preserve">are discussed </w:t>
      </w:r>
      <w:r w:rsidR="00CB1658">
        <w:t>based on the latest UE feature list [1]</w:t>
      </w:r>
      <w:r>
        <w:t>.</w:t>
      </w:r>
      <w:r w:rsidR="004F6F02">
        <w:t xml:space="preserve"> </w:t>
      </w:r>
    </w:p>
    <w:p w14:paraId="51E304A7" w14:textId="783CA670" w:rsidR="00D02852" w:rsidRDefault="00580A38" w:rsidP="00F6149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FG 21-1/21-3</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0"/>
        <w:gridCol w:w="7087"/>
      </w:tblGrid>
      <w:tr w:rsidR="00905B0B" w:rsidRPr="00905B0B" w14:paraId="2EF61487" w14:textId="77777777" w:rsidTr="002A77FE">
        <w:trPr>
          <w:trHeight w:val="20"/>
        </w:trPr>
        <w:tc>
          <w:tcPr>
            <w:tcW w:w="704" w:type="dxa"/>
            <w:tcBorders>
              <w:top w:val="single" w:sz="4" w:space="0" w:color="auto"/>
              <w:left w:val="single" w:sz="4" w:space="0" w:color="auto"/>
              <w:bottom w:val="single" w:sz="4" w:space="0" w:color="auto"/>
              <w:right w:val="single" w:sz="4" w:space="0" w:color="auto"/>
            </w:tcBorders>
            <w:hideMark/>
          </w:tcPr>
          <w:p w14:paraId="7719BA67" w14:textId="77777777" w:rsidR="00905B0B" w:rsidRPr="00905B0B" w:rsidRDefault="00905B0B" w:rsidP="00905B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Index</w:t>
            </w:r>
          </w:p>
        </w:tc>
        <w:tc>
          <w:tcPr>
            <w:tcW w:w="1840" w:type="dxa"/>
            <w:tcBorders>
              <w:top w:val="single" w:sz="4" w:space="0" w:color="auto"/>
              <w:left w:val="single" w:sz="4" w:space="0" w:color="auto"/>
              <w:bottom w:val="single" w:sz="4" w:space="0" w:color="auto"/>
              <w:right w:val="single" w:sz="4" w:space="0" w:color="auto"/>
            </w:tcBorders>
            <w:hideMark/>
          </w:tcPr>
          <w:p w14:paraId="3110EF7D" w14:textId="77777777" w:rsidR="00905B0B" w:rsidRPr="00905B0B" w:rsidRDefault="00905B0B" w:rsidP="00905B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71C061CD" w14:textId="77777777" w:rsidR="00905B0B" w:rsidRPr="00905B0B" w:rsidRDefault="00905B0B" w:rsidP="00905B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Components</w:t>
            </w:r>
          </w:p>
        </w:tc>
      </w:tr>
      <w:tr w:rsidR="00905B0B" w:rsidRPr="00905B0B" w14:paraId="57B03353" w14:textId="77777777" w:rsidTr="002A77FE">
        <w:trPr>
          <w:trHeight w:val="20"/>
        </w:trPr>
        <w:tc>
          <w:tcPr>
            <w:tcW w:w="704" w:type="dxa"/>
            <w:tcBorders>
              <w:top w:val="single" w:sz="4" w:space="0" w:color="auto"/>
              <w:left w:val="single" w:sz="4" w:space="0" w:color="auto"/>
              <w:bottom w:val="single" w:sz="4" w:space="0" w:color="auto"/>
              <w:right w:val="single" w:sz="4" w:space="0" w:color="auto"/>
            </w:tcBorders>
            <w:hideMark/>
          </w:tcPr>
          <w:p w14:paraId="317E537D" w14:textId="77777777" w:rsidR="00905B0B" w:rsidRPr="00905B0B" w:rsidRDefault="00905B0B" w:rsidP="00905B0B">
            <w:pPr>
              <w:keepNext/>
              <w:keepLines/>
              <w:spacing w:after="0"/>
              <w:rPr>
                <w:rFonts w:ascii="Arial" w:eastAsia="SimSun" w:hAnsi="Arial"/>
                <w:sz w:val="18"/>
                <w:lang w:eastAsia="ja-JP"/>
              </w:rPr>
            </w:pPr>
            <w:r w:rsidRPr="00905B0B">
              <w:rPr>
                <w:rFonts w:ascii="Arial" w:eastAsia="SimSun" w:hAnsi="Arial" w:cs="Arial"/>
                <w:sz w:val="18"/>
                <w:szCs w:val="18"/>
                <w:lang w:eastAsia="ja-JP"/>
              </w:rPr>
              <w:t>21-1</w:t>
            </w:r>
          </w:p>
        </w:tc>
        <w:tc>
          <w:tcPr>
            <w:tcW w:w="1840" w:type="dxa"/>
            <w:tcBorders>
              <w:top w:val="single" w:sz="4" w:space="0" w:color="auto"/>
              <w:left w:val="single" w:sz="4" w:space="0" w:color="auto"/>
              <w:bottom w:val="single" w:sz="4" w:space="0" w:color="auto"/>
              <w:right w:val="single" w:sz="4" w:space="0" w:color="auto"/>
            </w:tcBorders>
            <w:hideMark/>
          </w:tcPr>
          <w:p w14:paraId="5655B115" w14:textId="77777777" w:rsidR="00905B0B" w:rsidRPr="00905B0B" w:rsidRDefault="00905B0B" w:rsidP="00905B0B">
            <w:pPr>
              <w:keepNext/>
              <w:keepLines/>
              <w:spacing w:after="0"/>
              <w:rPr>
                <w:rFonts w:eastAsia="SimSun"/>
                <w:sz w:val="18"/>
                <w:lang w:eastAsia="zh-CN"/>
              </w:rPr>
            </w:pPr>
            <w:r w:rsidRPr="00905B0B">
              <w:rPr>
                <w:rFonts w:ascii="Arial" w:eastAsia="SimSun" w:hAnsi="Arial" w:cs="Arial"/>
                <w:sz w:val="18"/>
                <w:szCs w:val="18"/>
                <w:lang w:eastAsia="zh-CN"/>
              </w:rPr>
              <w:t>DAPS HO</w:t>
            </w:r>
          </w:p>
        </w:tc>
        <w:tc>
          <w:tcPr>
            <w:tcW w:w="7087" w:type="dxa"/>
            <w:tcBorders>
              <w:top w:val="single" w:sz="4" w:space="0" w:color="auto"/>
              <w:left w:val="single" w:sz="4" w:space="0" w:color="auto"/>
              <w:bottom w:val="single" w:sz="4" w:space="0" w:color="auto"/>
              <w:right w:val="single" w:sz="4" w:space="0" w:color="auto"/>
            </w:tcBorders>
          </w:tcPr>
          <w:p w14:paraId="6FE4F96A" w14:textId="0440016A" w:rsidR="00905B0B" w:rsidRPr="00905B0B" w:rsidRDefault="00905B0B" w:rsidP="00905B0B">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For the Indicated support of intra-frequency DAPS-HO for a given [band] and indicated support of inter-frequency DAPS-HO for a given [band combination].</w:t>
            </w:r>
          </w:p>
          <w:p w14:paraId="3E413AA3" w14:textId="77777777" w:rsidR="00905B0B" w:rsidRPr="00905B0B" w:rsidRDefault="00905B0B" w:rsidP="00905B0B">
            <w:pPr>
              <w:keepNext/>
              <w:keepLines/>
              <w:spacing w:after="0"/>
              <w:rPr>
                <w:rFonts w:ascii="Arial" w:eastAsia="SimSun" w:hAnsi="Arial" w:cs="Arial"/>
                <w:sz w:val="18"/>
                <w:szCs w:val="18"/>
                <w:lang w:eastAsia="zh-CN"/>
              </w:rPr>
            </w:pPr>
          </w:p>
          <w:p w14:paraId="6773650A" w14:textId="77777777" w:rsidR="00905B0B" w:rsidRPr="00905B0B" w:rsidRDefault="00905B0B" w:rsidP="00905B0B">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1) Indicates support of simultaneous DL reception of PDCCH and PDSCH from source and target cell in DAPS-HO</w:t>
            </w:r>
          </w:p>
          <w:p w14:paraId="50F82B11" w14:textId="77777777" w:rsidR="00905B0B" w:rsidRPr="00905B0B" w:rsidRDefault="00905B0B" w:rsidP="00905B0B">
            <w:pPr>
              <w:keepNext/>
              <w:keepLines/>
              <w:spacing w:after="0"/>
              <w:rPr>
                <w:rFonts w:ascii="Arial" w:eastAsia="SimSun" w:hAnsi="Arial" w:cs="Arial"/>
                <w:sz w:val="18"/>
                <w:szCs w:val="18"/>
                <w:lang w:eastAsia="zh-CN"/>
              </w:rPr>
            </w:pPr>
          </w:p>
          <w:p w14:paraId="2DF97FFF" w14:textId="5BC05AE7" w:rsidR="00905B0B" w:rsidRPr="00905B0B" w:rsidRDefault="00905B0B" w:rsidP="002A77FE">
            <w:pPr>
              <w:keepNext/>
              <w:keepLines/>
              <w:spacing w:after="0"/>
              <w:rPr>
                <w:rFonts w:ascii="Arial" w:eastAsia="SimSun" w:hAnsi="Arial"/>
                <w:lang w:eastAsia="zh-CN"/>
              </w:rPr>
            </w:pPr>
            <w:r w:rsidRPr="00905B0B">
              <w:rPr>
                <w:rFonts w:ascii="Arial" w:eastAsia="SimSun" w:hAnsi="Arial" w:cs="Arial"/>
                <w:sz w:val="18"/>
                <w:szCs w:val="18"/>
                <w:lang w:eastAsia="zh-CN"/>
              </w:rPr>
              <w:t>2) Indicates support of PDCCH blind decoding capability in the first MCG and second MCG.</w:t>
            </w:r>
          </w:p>
        </w:tc>
      </w:tr>
      <w:tr w:rsidR="00905B0B" w:rsidRPr="00905B0B" w14:paraId="3F7EF7D5" w14:textId="77777777" w:rsidTr="002A77FE">
        <w:trPr>
          <w:trHeight w:val="20"/>
        </w:trPr>
        <w:tc>
          <w:tcPr>
            <w:tcW w:w="704" w:type="dxa"/>
            <w:tcBorders>
              <w:top w:val="single" w:sz="4" w:space="0" w:color="auto"/>
              <w:left w:val="single" w:sz="4" w:space="0" w:color="auto"/>
              <w:bottom w:val="single" w:sz="4" w:space="0" w:color="auto"/>
              <w:right w:val="single" w:sz="4" w:space="0" w:color="auto"/>
            </w:tcBorders>
            <w:hideMark/>
          </w:tcPr>
          <w:p w14:paraId="69A58F59" w14:textId="77777777" w:rsidR="00905B0B" w:rsidRPr="00905B0B" w:rsidRDefault="00905B0B" w:rsidP="00905B0B">
            <w:pPr>
              <w:keepNext/>
              <w:keepLines/>
              <w:spacing w:after="0"/>
              <w:rPr>
                <w:rFonts w:ascii="Arial" w:eastAsia="SimSun" w:hAnsi="Arial"/>
                <w:sz w:val="18"/>
                <w:lang w:eastAsia="ja-JP"/>
              </w:rPr>
            </w:pPr>
            <w:r w:rsidRPr="00905B0B">
              <w:rPr>
                <w:rFonts w:ascii="Arial" w:eastAsia="SimSun" w:hAnsi="Arial" w:cs="Arial"/>
                <w:sz w:val="18"/>
                <w:szCs w:val="18"/>
                <w:lang w:eastAsia="ja-JP"/>
              </w:rPr>
              <w:t>21-3</w:t>
            </w:r>
          </w:p>
        </w:tc>
        <w:tc>
          <w:tcPr>
            <w:tcW w:w="1840" w:type="dxa"/>
            <w:tcBorders>
              <w:top w:val="single" w:sz="4" w:space="0" w:color="auto"/>
              <w:left w:val="single" w:sz="4" w:space="0" w:color="auto"/>
              <w:bottom w:val="single" w:sz="4" w:space="0" w:color="auto"/>
              <w:right w:val="single" w:sz="4" w:space="0" w:color="auto"/>
            </w:tcBorders>
            <w:hideMark/>
          </w:tcPr>
          <w:p w14:paraId="0F792FEA" w14:textId="77777777" w:rsidR="00905B0B" w:rsidRPr="00905B0B" w:rsidRDefault="00905B0B" w:rsidP="00905B0B">
            <w:pPr>
              <w:keepNext/>
              <w:keepLines/>
              <w:spacing w:after="0"/>
              <w:rPr>
                <w:rFonts w:eastAsia="SimSun"/>
                <w:sz w:val="18"/>
                <w:lang w:eastAsia="zh-CN"/>
              </w:rPr>
            </w:pPr>
            <w:r w:rsidRPr="00905B0B">
              <w:rPr>
                <w:rFonts w:ascii="Arial" w:eastAsia="SimSun" w:hAnsi="Arial" w:cs="Arial"/>
                <w:sz w:val="18"/>
                <w:szCs w:val="18"/>
                <w:lang w:eastAsia="zh-CN"/>
              </w:rPr>
              <w:t>PDCCH blind detection for MCG1 and MCG2</w:t>
            </w:r>
          </w:p>
        </w:tc>
        <w:tc>
          <w:tcPr>
            <w:tcW w:w="7087" w:type="dxa"/>
            <w:tcBorders>
              <w:top w:val="single" w:sz="4" w:space="0" w:color="auto"/>
              <w:left w:val="single" w:sz="4" w:space="0" w:color="auto"/>
              <w:bottom w:val="single" w:sz="4" w:space="0" w:color="auto"/>
              <w:right w:val="single" w:sz="4" w:space="0" w:color="auto"/>
            </w:tcBorders>
            <w:hideMark/>
          </w:tcPr>
          <w:p w14:paraId="372FCAAC" w14:textId="77777777" w:rsidR="00905B0B" w:rsidRPr="00905B0B" w:rsidRDefault="00905B0B" w:rsidP="00905B0B">
            <w:pPr>
              <w:keepNext/>
              <w:keepLines/>
              <w:spacing w:after="0"/>
              <w:rPr>
                <w:rFonts w:ascii="Arial" w:eastAsia="SimSun" w:hAnsi="Arial"/>
                <w:lang w:eastAsia="zh-CN"/>
              </w:rPr>
            </w:pPr>
            <w:r w:rsidRPr="00905B0B">
              <w:rPr>
                <w:rFonts w:ascii="Arial" w:eastAsia="SimSun" w:hAnsi="Arial" w:cs="Arial"/>
                <w:sz w:val="18"/>
                <w:szCs w:val="18"/>
                <w:lang w:eastAsia="zh-CN"/>
              </w:rPr>
              <w:t>Indicates PDCCH blind decoding capability supported in the first MCG (intended for target cell in HO) and second MCG (intended for source cell in HO) when in DAPS-HO. Value range for both cells should be {1</w:t>
            </w:r>
            <w:proofErr w:type="gramStart"/>
            <w:r w:rsidRPr="00905B0B">
              <w:rPr>
                <w:rFonts w:ascii="Arial" w:eastAsia="SimSun" w:hAnsi="Arial" w:cs="Arial"/>
                <w:sz w:val="18"/>
                <w:szCs w:val="18"/>
                <w:lang w:eastAsia="zh-CN"/>
              </w:rPr>
              <w:t>, …,</w:t>
            </w:r>
            <w:proofErr w:type="gramEnd"/>
            <w:r w:rsidRPr="00905B0B">
              <w:rPr>
                <w:rFonts w:ascii="Arial" w:eastAsia="SimSun" w:hAnsi="Arial" w:cs="Arial"/>
                <w:sz w:val="18"/>
                <w:szCs w:val="18"/>
                <w:lang w:eastAsia="zh-CN"/>
              </w:rPr>
              <w:t xml:space="preserve"> 15}.</w:t>
            </w:r>
          </w:p>
        </w:tc>
      </w:tr>
    </w:tbl>
    <w:p w14:paraId="421817BB" w14:textId="7FBA91DB" w:rsidR="00905B0B" w:rsidRDefault="00905B0B" w:rsidP="00905B0B">
      <w:pPr>
        <w:rPr>
          <w:lang w:val="en-US" w:eastAsia="ko-KR"/>
        </w:rPr>
      </w:pPr>
    </w:p>
    <w:tbl>
      <w:tblPr>
        <w:tblStyle w:val="a6"/>
        <w:tblW w:w="0" w:type="auto"/>
        <w:tblLook w:val="04A0" w:firstRow="1" w:lastRow="0" w:firstColumn="1" w:lastColumn="0" w:noHBand="0" w:noVBand="1"/>
      </w:tblPr>
      <w:tblGrid>
        <w:gridCol w:w="9629"/>
      </w:tblGrid>
      <w:tr w:rsidR="00C537F9" w14:paraId="56AD9A9E" w14:textId="77777777" w:rsidTr="00C537F9">
        <w:tc>
          <w:tcPr>
            <w:tcW w:w="9629" w:type="dxa"/>
          </w:tcPr>
          <w:p w14:paraId="3DF684DD" w14:textId="77777777" w:rsidR="00C537F9" w:rsidRPr="00C537F9" w:rsidRDefault="00C537F9" w:rsidP="00C537F9">
            <w:pPr>
              <w:rPr>
                <w:b/>
                <w:u w:val="single"/>
                <w:lang w:val="en-US" w:eastAsia="ko-KR"/>
              </w:rPr>
            </w:pPr>
            <w:r w:rsidRPr="00C537F9">
              <w:rPr>
                <w:rFonts w:hint="eastAsia"/>
                <w:b/>
                <w:highlight w:val="green"/>
                <w:u w:val="single"/>
                <w:lang w:val="en-US" w:eastAsia="ko-KR"/>
              </w:rPr>
              <w:t>R</w:t>
            </w:r>
            <w:r w:rsidRPr="00C537F9">
              <w:rPr>
                <w:b/>
                <w:highlight w:val="green"/>
                <w:u w:val="single"/>
                <w:lang w:val="en-US" w:eastAsia="ko-KR"/>
              </w:rPr>
              <w:t>AN</w:t>
            </w:r>
            <w:r w:rsidRPr="00C537F9">
              <w:rPr>
                <w:rFonts w:hint="eastAsia"/>
                <w:b/>
                <w:highlight w:val="green"/>
                <w:u w:val="single"/>
                <w:lang w:val="en-US" w:eastAsia="ko-KR"/>
              </w:rPr>
              <w:t>2#109e agreement:</w:t>
            </w:r>
          </w:p>
          <w:p w14:paraId="712294A6" w14:textId="4C9F0B6E" w:rsidR="00C537F9" w:rsidRPr="00C537F9" w:rsidRDefault="00C537F9" w:rsidP="00905B0B">
            <w:pPr>
              <w:rPr>
                <w:lang w:val="en-US" w:eastAsia="ko-KR"/>
              </w:rPr>
            </w:pPr>
            <w:r w:rsidRPr="00C537F9">
              <w:rPr>
                <w:iCs/>
              </w:rPr>
              <w:t xml:space="preserve">19: </w:t>
            </w:r>
            <w:proofErr w:type="spellStart"/>
            <w:r w:rsidRPr="00C537F9">
              <w:rPr>
                <w:iCs/>
              </w:rPr>
              <w:t>SCells</w:t>
            </w:r>
            <w:proofErr w:type="spellEnd"/>
            <w:r w:rsidRPr="00C537F9">
              <w:rPr>
                <w:iCs/>
              </w:rPr>
              <w:t xml:space="preserve"> are released in HO command, and not configured in HO command. To clarify this in UE capability,</w:t>
            </w:r>
            <w:r w:rsidR="00555E92">
              <w:rPr>
                <w:iCs/>
              </w:rPr>
              <w:t xml:space="preserve"> </w:t>
            </w:r>
            <w:r w:rsidRPr="00C537F9">
              <w:rPr>
                <w:iCs/>
              </w:rPr>
              <w:t xml:space="preserve">i.e. intra/inter-F DAPS capability indicates that the UE can only do DAPS handover with source and target </w:t>
            </w:r>
            <w:proofErr w:type="spellStart"/>
            <w:r w:rsidRPr="00C537F9">
              <w:rPr>
                <w:iCs/>
              </w:rPr>
              <w:t>PCell</w:t>
            </w:r>
            <w:proofErr w:type="spellEnd"/>
            <w:r w:rsidRPr="00C537F9">
              <w:rPr>
                <w:iCs/>
              </w:rPr>
              <w:t xml:space="preserve"> and no </w:t>
            </w:r>
            <w:proofErr w:type="spellStart"/>
            <w:r w:rsidRPr="00C537F9">
              <w:rPr>
                <w:iCs/>
              </w:rPr>
              <w:t>SCells</w:t>
            </w:r>
            <w:proofErr w:type="spellEnd"/>
            <w:r w:rsidRPr="00C537F9">
              <w:rPr>
                <w:iCs/>
              </w:rPr>
              <w:t>. There should no other specification impact.</w:t>
            </w:r>
          </w:p>
        </w:tc>
      </w:tr>
    </w:tbl>
    <w:p w14:paraId="371308E3" w14:textId="072A28E7" w:rsidR="005F5E0F" w:rsidRPr="005F5E0F" w:rsidRDefault="00D43686" w:rsidP="00280DD7">
      <w:pPr>
        <w:spacing w:before="120" w:after="120" w:line="288" w:lineRule="auto"/>
        <w:jc w:val="both"/>
        <w:rPr>
          <w:color w:val="000000" w:themeColor="text1"/>
          <w:lang w:val="en-US" w:eastAsia="ko-KR"/>
        </w:rPr>
      </w:pPr>
      <w:r w:rsidRPr="005F5E0F">
        <w:rPr>
          <w:color w:val="000000" w:themeColor="text1"/>
          <w:lang w:val="en-US" w:eastAsia="ko-KR"/>
        </w:rPr>
        <w:t>Combining FG 21-1 and RAN2</w:t>
      </w:r>
      <w:r w:rsidR="00590A80">
        <w:rPr>
          <w:color w:val="000000" w:themeColor="text1"/>
          <w:lang w:val="en-US" w:eastAsia="ko-KR"/>
        </w:rPr>
        <w:t>#109e</w:t>
      </w:r>
      <w:r w:rsidRPr="005F5E0F">
        <w:rPr>
          <w:color w:val="000000" w:themeColor="text1"/>
          <w:lang w:val="en-US" w:eastAsia="ko-KR"/>
        </w:rPr>
        <w:t xml:space="preserve"> agreement, the need for FG 21-3 is </w:t>
      </w:r>
      <w:r w:rsidR="005F5E0F" w:rsidRPr="005F5E0F">
        <w:rPr>
          <w:color w:val="000000" w:themeColor="text1"/>
          <w:lang w:val="en-US" w:eastAsia="ko-KR"/>
        </w:rPr>
        <w:t>questionable</w:t>
      </w:r>
      <w:r w:rsidRPr="005F5E0F">
        <w:rPr>
          <w:color w:val="000000" w:themeColor="text1"/>
          <w:lang w:val="en-US" w:eastAsia="ko-KR"/>
        </w:rPr>
        <w:t xml:space="preserve">. </w:t>
      </w:r>
      <w:r w:rsidR="005F5E0F" w:rsidRPr="005F5E0F">
        <w:rPr>
          <w:color w:val="000000" w:themeColor="text1"/>
          <w:lang w:val="en-US" w:eastAsia="ko-KR"/>
        </w:rPr>
        <w:t xml:space="preserve">What FG 21-3 intend to </w:t>
      </w:r>
      <w:r w:rsidR="00590A80">
        <w:rPr>
          <w:color w:val="000000" w:themeColor="text1"/>
          <w:lang w:val="en-US" w:eastAsia="ko-KR"/>
        </w:rPr>
        <w:t>is</w:t>
      </w:r>
      <w:r w:rsidR="005F5E0F" w:rsidRPr="005F5E0F">
        <w:rPr>
          <w:color w:val="000000" w:themeColor="text1"/>
          <w:lang w:val="en-US" w:eastAsia="ko-KR"/>
        </w:rPr>
        <w:t xml:space="preserve"> to manage UE blind decoding capability across source and target MCG assuming that UE keeps </w:t>
      </w:r>
      <w:proofErr w:type="spellStart"/>
      <w:r w:rsidR="005F5E0F" w:rsidRPr="005F5E0F">
        <w:rPr>
          <w:color w:val="000000" w:themeColor="text1"/>
          <w:lang w:val="en-US" w:eastAsia="ko-KR"/>
        </w:rPr>
        <w:t>SCells</w:t>
      </w:r>
      <w:proofErr w:type="spellEnd"/>
      <w:r w:rsidR="005F5E0F" w:rsidRPr="005F5E0F">
        <w:rPr>
          <w:color w:val="000000" w:themeColor="text1"/>
          <w:lang w:val="en-US" w:eastAsia="ko-KR"/>
        </w:rPr>
        <w:t xml:space="preserve"> during HO. However, since </w:t>
      </w:r>
      <w:proofErr w:type="spellStart"/>
      <w:r w:rsidR="005F5E0F" w:rsidRPr="005F5E0F">
        <w:rPr>
          <w:color w:val="000000" w:themeColor="text1"/>
          <w:lang w:val="en-US" w:eastAsia="ko-KR"/>
        </w:rPr>
        <w:t>SCells</w:t>
      </w:r>
      <w:proofErr w:type="spellEnd"/>
      <w:r w:rsidR="005F5E0F" w:rsidRPr="005F5E0F">
        <w:rPr>
          <w:color w:val="000000" w:themeColor="text1"/>
          <w:lang w:val="en-US" w:eastAsia="ko-KR"/>
        </w:rPr>
        <w:t xml:space="preserve"> are released in HO command, there is no point to maintain FG 21-3</w:t>
      </w:r>
      <w:r w:rsidR="00590A80">
        <w:rPr>
          <w:color w:val="000000" w:themeColor="text1"/>
          <w:lang w:val="en-US" w:eastAsia="ko-KR"/>
        </w:rPr>
        <w:t xml:space="preserve"> with value range {1</w:t>
      </w:r>
      <w:proofErr w:type="gramStart"/>
      <w:r w:rsidR="00590A80">
        <w:rPr>
          <w:color w:val="000000" w:themeColor="text1"/>
          <w:lang w:val="en-US" w:eastAsia="ko-KR"/>
        </w:rPr>
        <w:t>, …,</w:t>
      </w:r>
      <w:proofErr w:type="gramEnd"/>
      <w:r w:rsidR="00590A80">
        <w:rPr>
          <w:color w:val="000000" w:themeColor="text1"/>
          <w:lang w:val="en-US" w:eastAsia="ko-KR"/>
        </w:rPr>
        <w:t xml:space="preserve"> 15}. That is, </w:t>
      </w:r>
      <w:r w:rsidR="005F5E0F" w:rsidRPr="005F5E0F">
        <w:rPr>
          <w:color w:val="000000" w:themeColor="text1"/>
          <w:lang w:val="en-US" w:eastAsia="ko-KR"/>
        </w:rPr>
        <w:t>FG 21-1 is sufficient.</w:t>
      </w:r>
    </w:p>
    <w:p w14:paraId="5DD762F2" w14:textId="214E664A" w:rsidR="009D583A" w:rsidRPr="005F5E0F" w:rsidRDefault="005F5E0F" w:rsidP="005F5E0F">
      <w:pPr>
        <w:jc w:val="both"/>
        <w:rPr>
          <w:b/>
          <w:color w:val="000000" w:themeColor="text1"/>
          <w:lang w:val="en-US" w:eastAsia="ko-KR"/>
        </w:rPr>
      </w:pPr>
      <w:r w:rsidRPr="005F5E0F">
        <w:rPr>
          <w:b/>
          <w:color w:val="000000" w:themeColor="text1"/>
          <w:lang w:val="en-US" w:eastAsia="ko-KR"/>
        </w:rPr>
        <w:t>Proposal 1: R</w:t>
      </w:r>
      <w:r w:rsidR="00D43686" w:rsidRPr="005F5E0F">
        <w:rPr>
          <w:b/>
          <w:color w:val="000000" w:themeColor="text1"/>
          <w:lang w:val="en-US" w:eastAsia="ko-KR"/>
        </w:rPr>
        <w:t xml:space="preserve">emove FG 21-3 </w:t>
      </w:r>
      <w:r w:rsidRPr="005F5E0F">
        <w:rPr>
          <w:b/>
          <w:color w:val="000000" w:themeColor="text1"/>
          <w:lang w:val="en-US" w:eastAsia="ko-KR"/>
        </w:rPr>
        <w:t xml:space="preserve">from </w:t>
      </w:r>
      <w:r>
        <w:rPr>
          <w:b/>
          <w:color w:val="000000" w:themeColor="text1"/>
          <w:lang w:val="en-US" w:eastAsia="ko-KR"/>
        </w:rPr>
        <w:t xml:space="preserve">Rel-16 NR </w:t>
      </w:r>
      <w:r w:rsidRPr="005F5E0F">
        <w:rPr>
          <w:b/>
          <w:color w:val="000000" w:themeColor="text1"/>
          <w:lang w:val="en-US" w:eastAsia="ko-KR"/>
        </w:rPr>
        <w:t>UE feature list.</w:t>
      </w:r>
    </w:p>
    <w:p w14:paraId="1FDC075B" w14:textId="0E374A58" w:rsidR="00580A38" w:rsidRDefault="00580A38" w:rsidP="00580A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FG 21-2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0"/>
        <w:gridCol w:w="7087"/>
      </w:tblGrid>
      <w:tr w:rsidR="00580A38" w:rsidRPr="00905B0B" w14:paraId="45E1B45A"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72E4BA88"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Index</w:t>
            </w:r>
          </w:p>
        </w:tc>
        <w:tc>
          <w:tcPr>
            <w:tcW w:w="1840" w:type="dxa"/>
            <w:tcBorders>
              <w:top w:val="single" w:sz="4" w:space="0" w:color="auto"/>
              <w:left w:val="single" w:sz="4" w:space="0" w:color="auto"/>
              <w:bottom w:val="single" w:sz="4" w:space="0" w:color="auto"/>
              <w:right w:val="single" w:sz="4" w:space="0" w:color="auto"/>
            </w:tcBorders>
            <w:hideMark/>
          </w:tcPr>
          <w:p w14:paraId="4BD4EF6A"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42F180A9"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Components</w:t>
            </w:r>
          </w:p>
        </w:tc>
      </w:tr>
      <w:tr w:rsidR="00580A38" w:rsidRPr="00905B0B" w14:paraId="50C6A0F4"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55506C23" w14:textId="77777777" w:rsidR="00580A38" w:rsidRPr="00905B0B" w:rsidRDefault="00580A38" w:rsidP="00244512">
            <w:pPr>
              <w:keepNext/>
              <w:keepLines/>
              <w:spacing w:after="0"/>
              <w:rPr>
                <w:rFonts w:ascii="Arial" w:eastAsia="SimSun" w:hAnsi="Arial"/>
                <w:sz w:val="18"/>
                <w:lang w:eastAsia="ja-JP"/>
              </w:rPr>
            </w:pPr>
            <w:r w:rsidRPr="00905B0B">
              <w:rPr>
                <w:rFonts w:ascii="Arial" w:eastAsia="SimSun" w:hAnsi="Arial" w:cs="Arial"/>
                <w:sz w:val="18"/>
                <w:szCs w:val="18"/>
                <w:lang w:eastAsia="ja-JP"/>
              </w:rPr>
              <w:t>21-2</w:t>
            </w:r>
          </w:p>
        </w:tc>
        <w:tc>
          <w:tcPr>
            <w:tcW w:w="1840" w:type="dxa"/>
            <w:tcBorders>
              <w:top w:val="single" w:sz="4" w:space="0" w:color="auto"/>
              <w:left w:val="single" w:sz="4" w:space="0" w:color="auto"/>
              <w:bottom w:val="single" w:sz="4" w:space="0" w:color="auto"/>
              <w:right w:val="single" w:sz="4" w:space="0" w:color="auto"/>
            </w:tcBorders>
            <w:hideMark/>
          </w:tcPr>
          <w:p w14:paraId="09515408" w14:textId="77777777" w:rsidR="00580A38" w:rsidRPr="00905B0B" w:rsidRDefault="00580A38" w:rsidP="00244512">
            <w:pPr>
              <w:keepNext/>
              <w:keepLines/>
              <w:spacing w:after="0"/>
              <w:rPr>
                <w:rFonts w:eastAsia="SimSun"/>
                <w:sz w:val="18"/>
                <w:lang w:eastAsia="zh-CN"/>
              </w:rPr>
            </w:pPr>
            <w:r w:rsidRPr="00905B0B">
              <w:rPr>
                <w:rFonts w:ascii="Arial" w:eastAsia="SimSun" w:hAnsi="Arial" w:cs="Arial"/>
                <w:sz w:val="18"/>
                <w:szCs w:val="18"/>
                <w:lang w:eastAsia="zh-CN"/>
              </w:rPr>
              <w:t>UE power sharing for DAPS HO</w:t>
            </w:r>
          </w:p>
        </w:tc>
        <w:tc>
          <w:tcPr>
            <w:tcW w:w="7087" w:type="dxa"/>
            <w:tcBorders>
              <w:top w:val="single" w:sz="4" w:space="0" w:color="auto"/>
              <w:left w:val="single" w:sz="4" w:space="0" w:color="auto"/>
              <w:bottom w:val="single" w:sz="4" w:space="0" w:color="auto"/>
              <w:right w:val="single" w:sz="4" w:space="0" w:color="auto"/>
            </w:tcBorders>
          </w:tcPr>
          <w:p w14:paraId="10117E2B" w14:textId="77777777" w:rsidR="00580A38" w:rsidRPr="00905B0B" w:rsidRDefault="00580A38" w:rsidP="00244512">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ALT 1) Indicates support of dynamic UL power sharing during DAPS-HO operation.</w:t>
            </w:r>
          </w:p>
          <w:p w14:paraId="0A21E123" w14:textId="77777777" w:rsidR="00580A38" w:rsidRPr="00905B0B" w:rsidRDefault="00580A38" w:rsidP="00244512">
            <w:pPr>
              <w:keepNext/>
              <w:keepLines/>
              <w:spacing w:after="0"/>
              <w:rPr>
                <w:rFonts w:ascii="Arial" w:eastAsia="SimSun" w:hAnsi="Arial"/>
                <w:lang w:eastAsia="zh-CN"/>
              </w:rPr>
            </w:pPr>
            <w:r w:rsidRPr="00905B0B">
              <w:rPr>
                <w:rFonts w:ascii="Arial" w:eastAsia="SimSun" w:hAnsi="Arial" w:cs="Arial"/>
                <w:sz w:val="18"/>
                <w:szCs w:val="18"/>
                <w:lang w:eastAsia="zh-CN"/>
              </w:rPr>
              <w:t>ALT 2) Indicates support of UL power sharing mode during DAPS-HO operation.</w:t>
            </w:r>
          </w:p>
        </w:tc>
      </w:tr>
    </w:tbl>
    <w:p w14:paraId="7A1EB010" w14:textId="137F1EDC" w:rsidR="00590A80" w:rsidRDefault="00A85096" w:rsidP="00280DD7">
      <w:pPr>
        <w:spacing w:before="120" w:line="288" w:lineRule="auto"/>
        <w:jc w:val="both"/>
        <w:rPr>
          <w:lang w:val="en-US" w:eastAsia="ko-KR"/>
        </w:rPr>
      </w:pPr>
      <w:r>
        <w:rPr>
          <w:lang w:val="en-US" w:eastAsia="ko-KR"/>
        </w:rPr>
        <w:t xml:space="preserve">It is understood that </w:t>
      </w:r>
      <w:r w:rsidR="00590A80" w:rsidRPr="00590A80">
        <w:rPr>
          <w:lang w:val="en-US" w:eastAsia="ko-KR"/>
        </w:rPr>
        <w:t xml:space="preserve">ALT1 makes </w:t>
      </w:r>
      <w:r>
        <w:rPr>
          <w:lang w:val="en-US" w:eastAsia="ko-KR"/>
        </w:rPr>
        <w:t xml:space="preserve">both </w:t>
      </w:r>
      <w:r>
        <w:rPr>
          <w:i/>
          <w:iCs/>
        </w:rPr>
        <w:t xml:space="preserve">Semistatic-mode1 </w:t>
      </w:r>
      <w:r w:rsidR="00590A80" w:rsidRPr="00590A80">
        <w:rPr>
          <w:lang w:val="en-US" w:eastAsia="ko-KR"/>
        </w:rPr>
        <w:t xml:space="preserve">and </w:t>
      </w:r>
      <w:r>
        <w:rPr>
          <w:i/>
          <w:iCs/>
        </w:rPr>
        <w:t xml:space="preserve">Semistatic-mode2 </w:t>
      </w:r>
      <w:r w:rsidR="00590A80" w:rsidRPr="00590A80">
        <w:rPr>
          <w:lang w:val="en-US" w:eastAsia="ko-KR"/>
        </w:rPr>
        <w:t xml:space="preserve">mandated capabilities for DAPS HO, which is not the case in NR-DC which only includes </w:t>
      </w:r>
      <w:r>
        <w:rPr>
          <w:i/>
          <w:iCs/>
        </w:rPr>
        <w:t>Semistatic-mode1</w:t>
      </w:r>
      <w:r w:rsidR="00590A80" w:rsidRPr="00590A80">
        <w:rPr>
          <w:lang w:val="en-US" w:eastAsia="ko-KR"/>
        </w:rPr>
        <w:t xml:space="preserve"> as a basic feature.</w:t>
      </w:r>
      <w:r w:rsidR="00132610">
        <w:rPr>
          <w:lang w:val="en-US" w:eastAsia="ko-KR"/>
        </w:rPr>
        <w:t xml:space="preserve"> Therefore, we need more clarification on ALT1.</w:t>
      </w:r>
    </w:p>
    <w:p w14:paraId="4ED54BE8" w14:textId="024B74A0" w:rsidR="00A85096" w:rsidRPr="00A85096" w:rsidRDefault="00A85096" w:rsidP="00160D57">
      <w:pPr>
        <w:spacing w:line="288" w:lineRule="auto"/>
        <w:jc w:val="both"/>
        <w:rPr>
          <w:lang w:val="en-US" w:eastAsia="ko-KR"/>
        </w:rPr>
      </w:pPr>
      <w:r w:rsidRPr="00A85096">
        <w:rPr>
          <w:lang w:val="en-US" w:eastAsia="ko-KR"/>
        </w:rPr>
        <w:t xml:space="preserve">In case of ALT2, it is aligned with </w:t>
      </w:r>
      <w:r w:rsidR="00245426" w:rsidRPr="00A85096">
        <w:rPr>
          <w:rFonts w:hint="eastAsia"/>
          <w:lang w:val="en-US" w:eastAsia="ko-KR"/>
        </w:rPr>
        <w:t xml:space="preserve">previous agreement on UE capability signaling </w:t>
      </w:r>
      <w:r w:rsidR="00245426" w:rsidRPr="00A85096">
        <w:rPr>
          <w:lang w:val="en-US" w:eastAsia="ko-KR"/>
        </w:rPr>
        <w:t>[2]</w:t>
      </w:r>
      <w:r w:rsidRPr="00A85096">
        <w:rPr>
          <w:lang w:val="en-US" w:eastAsia="ko-KR"/>
        </w:rPr>
        <w:t xml:space="preserve"> and TS38.213 specifies UE </w:t>
      </w:r>
      <w:proofErr w:type="spellStart"/>
      <w:r w:rsidRPr="00A85096">
        <w:rPr>
          <w:lang w:val="en-US" w:eastAsia="ko-KR"/>
        </w:rPr>
        <w:t>behaviour</w:t>
      </w:r>
      <w:proofErr w:type="spellEnd"/>
      <w:r w:rsidRPr="00A85096">
        <w:rPr>
          <w:lang w:val="en-US" w:eastAsia="ko-KR"/>
        </w:rPr>
        <w:t xml:space="preserve"> based on ALT2</w:t>
      </w:r>
      <w:r>
        <w:rPr>
          <w:lang w:val="en-US" w:eastAsia="ko-KR"/>
        </w:rPr>
        <w:t>.</w:t>
      </w:r>
    </w:p>
    <w:p w14:paraId="715B6F72" w14:textId="6EABEB29" w:rsidR="00580A38" w:rsidRDefault="00A85096" w:rsidP="00905B0B">
      <w:pPr>
        <w:rPr>
          <w:lang w:val="en-US" w:eastAsia="ko-KR"/>
        </w:rPr>
      </w:pPr>
      <w:r w:rsidRPr="00A85096">
        <w:rPr>
          <w:b/>
          <w:lang w:val="en-US" w:eastAsia="ko-KR"/>
        </w:rPr>
        <w:t>Proposal 2</w:t>
      </w:r>
      <w:r w:rsidR="00245426" w:rsidRPr="00A85096">
        <w:rPr>
          <w:b/>
          <w:lang w:val="en-US" w:eastAsia="ko-KR"/>
        </w:rPr>
        <w:t>:</w:t>
      </w:r>
      <w:r w:rsidRPr="00A85096">
        <w:rPr>
          <w:b/>
          <w:lang w:val="en-US" w:eastAsia="ko-KR"/>
        </w:rPr>
        <w:t xml:space="preserve"> Unless ALT1 is justified, take ALT2 for FG 21-2.</w:t>
      </w:r>
    </w:p>
    <w:p w14:paraId="750CE562" w14:textId="0AC8DE1C" w:rsidR="00580A38" w:rsidRDefault="00580A38" w:rsidP="00580A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FG 21-2a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0"/>
        <w:gridCol w:w="7087"/>
      </w:tblGrid>
      <w:tr w:rsidR="00D65FBF" w:rsidRPr="00905B0B" w14:paraId="73B56367"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53339152" w14:textId="77777777" w:rsidR="00D65FBF" w:rsidRPr="00905B0B" w:rsidRDefault="00D65FBF"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Index</w:t>
            </w:r>
          </w:p>
        </w:tc>
        <w:tc>
          <w:tcPr>
            <w:tcW w:w="1840" w:type="dxa"/>
            <w:tcBorders>
              <w:top w:val="single" w:sz="4" w:space="0" w:color="auto"/>
              <w:left w:val="single" w:sz="4" w:space="0" w:color="auto"/>
              <w:bottom w:val="single" w:sz="4" w:space="0" w:color="auto"/>
              <w:right w:val="single" w:sz="4" w:space="0" w:color="auto"/>
            </w:tcBorders>
            <w:hideMark/>
          </w:tcPr>
          <w:p w14:paraId="7C5AD2A6" w14:textId="77777777" w:rsidR="00D65FBF" w:rsidRPr="00744971" w:rsidRDefault="00D65FBF"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44971">
              <w:rPr>
                <w:rFonts w:ascii="Arial" w:eastAsia="Times New Roman" w:hAnsi="Arial"/>
                <w:b/>
                <w:sz w:val="18"/>
                <w:lang w:eastAsia="ja-JP"/>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43501EAB" w14:textId="77777777" w:rsidR="00D65FBF" w:rsidRPr="00744971" w:rsidRDefault="00D65FBF"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44971">
              <w:rPr>
                <w:rFonts w:ascii="Arial" w:eastAsia="Times New Roman" w:hAnsi="Arial"/>
                <w:b/>
                <w:sz w:val="18"/>
                <w:lang w:eastAsia="ja-JP"/>
              </w:rPr>
              <w:t>Components</w:t>
            </w:r>
          </w:p>
        </w:tc>
      </w:tr>
      <w:tr w:rsidR="00D65FBF" w:rsidRPr="00905B0B" w14:paraId="57A586EC"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1F68CE86" w14:textId="77777777" w:rsidR="00D65FBF" w:rsidRPr="00905B0B" w:rsidRDefault="00D65FBF" w:rsidP="00244512">
            <w:pPr>
              <w:keepNext/>
              <w:keepLines/>
              <w:spacing w:after="0"/>
              <w:rPr>
                <w:rFonts w:ascii="Arial" w:eastAsia="SimSun" w:hAnsi="Arial" w:cs="Arial"/>
                <w:sz w:val="18"/>
                <w:szCs w:val="18"/>
                <w:lang w:eastAsia="ja-JP"/>
              </w:rPr>
            </w:pPr>
            <w:r w:rsidRPr="00905B0B">
              <w:rPr>
                <w:rFonts w:ascii="Arial" w:eastAsia="SimSun" w:hAnsi="Arial" w:cs="Arial"/>
                <w:sz w:val="18"/>
                <w:szCs w:val="18"/>
                <w:lang w:eastAsia="ja-JP"/>
              </w:rPr>
              <w:t>21-2a</w:t>
            </w:r>
          </w:p>
        </w:tc>
        <w:tc>
          <w:tcPr>
            <w:tcW w:w="1840" w:type="dxa"/>
            <w:tcBorders>
              <w:top w:val="single" w:sz="4" w:space="0" w:color="auto"/>
              <w:left w:val="single" w:sz="4" w:space="0" w:color="auto"/>
              <w:bottom w:val="single" w:sz="4" w:space="0" w:color="auto"/>
              <w:right w:val="single" w:sz="4" w:space="0" w:color="auto"/>
            </w:tcBorders>
            <w:hideMark/>
          </w:tcPr>
          <w:p w14:paraId="12C7A1D4" w14:textId="77777777" w:rsidR="00D65FBF" w:rsidRPr="00744971" w:rsidRDefault="00D65FBF" w:rsidP="00244512">
            <w:pPr>
              <w:keepNext/>
              <w:keepLines/>
              <w:spacing w:after="0"/>
              <w:rPr>
                <w:rFonts w:ascii="Arial" w:eastAsia="SimSun" w:hAnsi="Arial" w:cs="Arial"/>
                <w:sz w:val="18"/>
                <w:szCs w:val="18"/>
                <w:lang w:eastAsia="zh-CN"/>
              </w:rPr>
            </w:pPr>
            <w:r w:rsidRPr="00744971">
              <w:rPr>
                <w:rFonts w:ascii="Arial" w:eastAsia="SimSun" w:hAnsi="Arial" w:cs="Arial"/>
                <w:sz w:val="18"/>
                <w:szCs w:val="18"/>
                <w:lang w:eastAsia="zh-CN"/>
              </w:rPr>
              <w:t>UL transmission cancellation</w:t>
            </w:r>
          </w:p>
        </w:tc>
        <w:tc>
          <w:tcPr>
            <w:tcW w:w="7087" w:type="dxa"/>
            <w:tcBorders>
              <w:top w:val="single" w:sz="4" w:space="0" w:color="auto"/>
              <w:left w:val="single" w:sz="4" w:space="0" w:color="auto"/>
              <w:bottom w:val="single" w:sz="4" w:space="0" w:color="auto"/>
              <w:right w:val="single" w:sz="4" w:space="0" w:color="auto"/>
            </w:tcBorders>
            <w:hideMark/>
          </w:tcPr>
          <w:p w14:paraId="0F980FDF" w14:textId="77777777" w:rsidR="00D65FBF" w:rsidRPr="00744971" w:rsidRDefault="00D65FBF" w:rsidP="00244512">
            <w:pPr>
              <w:keepNext/>
              <w:keepLines/>
              <w:spacing w:after="0"/>
              <w:rPr>
                <w:rFonts w:ascii="Arial" w:eastAsia="SimSun" w:hAnsi="Arial" w:cs="Arial"/>
                <w:sz w:val="18"/>
                <w:szCs w:val="18"/>
                <w:lang w:eastAsia="zh-CN"/>
              </w:rPr>
            </w:pPr>
            <w:r w:rsidRPr="00744971">
              <w:rPr>
                <w:rFonts w:ascii="Arial" w:eastAsia="SimSun" w:hAnsi="Arial" w:cs="Arial"/>
                <w:sz w:val="18"/>
                <w:szCs w:val="18"/>
                <w:lang w:eastAsia="zh-CN"/>
              </w:rPr>
              <w:t>Indicates support of cancelling UL transmission to the source cell</w:t>
            </w:r>
          </w:p>
        </w:tc>
      </w:tr>
    </w:tbl>
    <w:p w14:paraId="27801CD9" w14:textId="021D65D1" w:rsidR="00C15FB4" w:rsidRDefault="00C15FB4" w:rsidP="00280DD7">
      <w:pPr>
        <w:pStyle w:val="B1"/>
        <w:overflowPunct w:val="0"/>
        <w:autoSpaceDE w:val="0"/>
        <w:autoSpaceDN w:val="0"/>
        <w:adjustRightInd w:val="0"/>
        <w:spacing w:before="120" w:line="288" w:lineRule="auto"/>
        <w:ind w:left="0" w:firstLine="0"/>
        <w:jc w:val="both"/>
        <w:textAlignment w:val="baseline"/>
        <w:rPr>
          <w:rFonts w:eastAsiaTheme="minorEastAsia"/>
          <w:lang w:eastAsia="ko-KR"/>
        </w:rPr>
      </w:pPr>
      <w:r>
        <w:rPr>
          <w:lang w:eastAsia="ja-JP"/>
        </w:rPr>
        <w:t xml:space="preserve">For FG21-2a, it is described that: </w:t>
      </w:r>
      <w:r w:rsidRPr="00C15FB4">
        <w:rPr>
          <w:i/>
          <w:lang w:eastAsia="ja-JP"/>
        </w:rPr>
        <w:t>If the feature is not supported by the UE, the consequence is that t</w:t>
      </w:r>
      <w:r w:rsidRPr="00C15FB4">
        <w:rPr>
          <w:rFonts w:eastAsiaTheme="minorEastAsia"/>
          <w:i/>
          <w:lang w:eastAsia="ko-KR"/>
        </w:rPr>
        <w:t>he UE does not expect UL transmissions to source cell and target cell overlap.</w:t>
      </w:r>
      <w:r w:rsidRPr="00C15FB4">
        <w:rPr>
          <w:rFonts w:eastAsiaTheme="minorEastAsia"/>
          <w:lang w:eastAsia="ko-KR"/>
        </w:rPr>
        <w:t xml:space="preserve"> </w:t>
      </w:r>
    </w:p>
    <w:p w14:paraId="3CD7A23F" w14:textId="6ED027AA" w:rsidR="00C15FB4" w:rsidRDefault="00C15FB4" w:rsidP="00876E4E">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 xml:space="preserve">We understand that FG 21-2a targets to facilitate UE implementation for DAPS HO. On the other hand, this FG would impose </w:t>
      </w:r>
      <w:proofErr w:type="spellStart"/>
      <w:r>
        <w:rPr>
          <w:rFonts w:eastAsiaTheme="minorEastAsia"/>
          <w:lang w:eastAsia="ko-KR"/>
        </w:rPr>
        <w:t>gNB</w:t>
      </w:r>
      <w:proofErr w:type="spellEnd"/>
      <w:r>
        <w:rPr>
          <w:rFonts w:eastAsiaTheme="minorEastAsia"/>
          <w:lang w:eastAsia="ko-KR"/>
        </w:rPr>
        <w:t xml:space="preserve"> scheduling restriction. Source and target cell cannot guarantee no UL transmission overlap </w:t>
      </w:r>
      <w:r w:rsidR="00744971">
        <w:rPr>
          <w:rFonts w:eastAsiaTheme="minorEastAsia"/>
          <w:lang w:eastAsia="ko-KR"/>
        </w:rPr>
        <w:t xml:space="preserve">for a UE </w:t>
      </w:r>
      <w:r>
        <w:rPr>
          <w:rFonts w:eastAsiaTheme="minorEastAsia"/>
          <w:lang w:eastAsia="ko-KR"/>
        </w:rPr>
        <w:t>during DAPS HO.</w:t>
      </w:r>
    </w:p>
    <w:p w14:paraId="428E954D" w14:textId="78FF296C" w:rsidR="007428D6" w:rsidRDefault="007428D6">
      <w:pPr>
        <w:pStyle w:val="B1"/>
        <w:overflowPunct w:val="0"/>
        <w:autoSpaceDE w:val="0"/>
        <w:autoSpaceDN w:val="0"/>
        <w:adjustRightInd w:val="0"/>
        <w:spacing w:line="288" w:lineRule="auto"/>
        <w:ind w:left="0" w:firstLine="0"/>
        <w:jc w:val="both"/>
        <w:textAlignment w:val="baseline"/>
        <w:rPr>
          <w:rFonts w:eastAsiaTheme="minorEastAsia"/>
          <w:lang w:eastAsia="ko-KR"/>
        </w:rPr>
      </w:pPr>
      <w:r>
        <w:rPr>
          <w:rFonts w:eastAsiaTheme="minorEastAsia"/>
          <w:lang w:eastAsia="ko-KR"/>
        </w:rPr>
        <w:t xml:space="preserve">Therefore, we suggest to update the consequence if the feature is not supported as: “UL transmission cancellation is up to UE implementation”. </w:t>
      </w:r>
      <w:r w:rsidR="00CF334E">
        <w:rPr>
          <w:rFonts w:eastAsiaTheme="minorEastAsia"/>
          <w:lang w:eastAsia="ko-KR"/>
        </w:rPr>
        <w:t>This means that UL transmission overlap may happen and the UE behaviour is unspecified in such case.</w:t>
      </w:r>
    </w:p>
    <w:p w14:paraId="5711FFA8" w14:textId="705CA5DC" w:rsidR="007428D6" w:rsidRPr="00744971" w:rsidRDefault="007428D6" w:rsidP="00876E4E">
      <w:pPr>
        <w:pStyle w:val="B1"/>
        <w:overflowPunct w:val="0"/>
        <w:autoSpaceDE w:val="0"/>
        <w:autoSpaceDN w:val="0"/>
        <w:adjustRightInd w:val="0"/>
        <w:spacing w:line="288" w:lineRule="auto"/>
        <w:ind w:left="0" w:firstLine="0"/>
        <w:jc w:val="both"/>
        <w:textAlignment w:val="baseline"/>
        <w:rPr>
          <w:rFonts w:eastAsiaTheme="minorEastAsia"/>
          <w:b/>
          <w:lang w:eastAsia="ko-KR"/>
        </w:rPr>
      </w:pPr>
      <w:r>
        <w:rPr>
          <w:rFonts w:eastAsiaTheme="minorEastAsia"/>
          <w:b/>
          <w:lang w:eastAsia="ko-KR"/>
        </w:rPr>
        <w:t>Proposal 3: Update the consequence if FG 21-2a is not supported as:</w:t>
      </w:r>
      <w:r w:rsidRPr="007428D6">
        <w:rPr>
          <w:rFonts w:eastAsiaTheme="minorEastAsia"/>
          <w:lang w:eastAsia="ko-KR"/>
        </w:rPr>
        <w:t xml:space="preserve"> </w:t>
      </w:r>
      <w:r w:rsidRPr="007428D6">
        <w:rPr>
          <w:rFonts w:eastAsiaTheme="minorEastAsia"/>
          <w:b/>
          <w:lang w:eastAsia="ko-KR"/>
        </w:rPr>
        <w:t>“</w:t>
      </w:r>
      <w:r w:rsidRPr="00280DD7">
        <w:rPr>
          <w:rFonts w:eastAsiaTheme="minorEastAsia"/>
          <w:b/>
          <w:i/>
          <w:lang w:eastAsia="ko-KR"/>
        </w:rPr>
        <w:t>UL transmission cancellation is up to UE implementation</w:t>
      </w:r>
      <w:r w:rsidRPr="007428D6">
        <w:rPr>
          <w:rFonts w:eastAsiaTheme="minorEastAsia"/>
          <w:b/>
          <w:lang w:eastAsia="ko-KR"/>
        </w:rPr>
        <w:t>”</w:t>
      </w:r>
      <w:r w:rsidR="00CF334E">
        <w:rPr>
          <w:rFonts w:eastAsiaTheme="minorEastAsia"/>
          <w:b/>
          <w:lang w:eastAsia="ko-KR"/>
        </w:rPr>
        <w:t>.</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216C77AD" w14:textId="77777777" w:rsidR="00744971" w:rsidRPr="00744971" w:rsidRDefault="00744971" w:rsidP="00744971">
      <w:pPr>
        <w:jc w:val="both"/>
        <w:rPr>
          <w:b/>
          <w:color w:val="000000" w:themeColor="text1"/>
          <w:lang w:val="en-US" w:eastAsia="ko-KR"/>
        </w:rPr>
      </w:pPr>
      <w:r w:rsidRPr="00744971">
        <w:rPr>
          <w:b/>
          <w:color w:val="000000" w:themeColor="text1"/>
          <w:lang w:val="en-US" w:eastAsia="ko-KR"/>
        </w:rPr>
        <w:t>Proposal 1: Remove FG 21-3 from Rel-16 NR UE feature list.</w:t>
      </w:r>
    </w:p>
    <w:p w14:paraId="7BF69D49" w14:textId="228B99DE" w:rsidR="00744971" w:rsidRDefault="00744971" w:rsidP="00744971">
      <w:pPr>
        <w:rPr>
          <w:b/>
          <w:lang w:val="en-US" w:eastAsia="ko-KR"/>
        </w:rPr>
      </w:pPr>
      <w:r w:rsidRPr="00A85096">
        <w:rPr>
          <w:b/>
          <w:lang w:val="en-US" w:eastAsia="ko-KR"/>
        </w:rPr>
        <w:t>Proposal 2: Unless ALT1 is justified, take ALT2 for FG 21-2.</w:t>
      </w:r>
    </w:p>
    <w:p w14:paraId="609A8F38" w14:textId="247552AD" w:rsidR="00280DD7" w:rsidRDefault="00280DD7" w:rsidP="00744971">
      <w:pPr>
        <w:rPr>
          <w:lang w:val="en-US" w:eastAsia="ko-KR"/>
        </w:rPr>
      </w:pPr>
      <w:r w:rsidRPr="00280DD7">
        <w:rPr>
          <w:b/>
          <w:lang w:val="en-US" w:eastAsia="ko-KR"/>
        </w:rPr>
        <w:t>Proposal 3: Update the consequence if FG 21-2a is not supported as: “UL transmission cancellation is up to UE implementation”.</w:t>
      </w:r>
    </w:p>
    <w:p w14:paraId="08397EEB" w14:textId="7DA0F2B2" w:rsidR="00C0725E" w:rsidRPr="00C0725E" w:rsidRDefault="00CF334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F334E">
        <w:rPr>
          <w:rFonts w:eastAsiaTheme="minorEastAsia"/>
          <w:b/>
        </w:rPr>
        <w:t xml:space="preserve"> </w:t>
      </w:r>
      <w:r w:rsidR="00C0725E" w:rsidRPr="00C0725E">
        <w:rPr>
          <w:rFonts w:eastAsia="DengXian"/>
          <w:lang w:val="en-US" w:eastAsia="zh-CN"/>
        </w:rPr>
        <w:t>Reference</w:t>
      </w:r>
      <w:r w:rsidR="009B2344">
        <w:rPr>
          <w:rFonts w:eastAsia="DengXian"/>
          <w:lang w:val="en-US" w:eastAsia="zh-CN"/>
        </w:rPr>
        <w:t>s</w:t>
      </w:r>
    </w:p>
    <w:p w14:paraId="5866E33A" w14:textId="0B865B46" w:rsidR="00905B0B" w:rsidRDefault="00FB157D" w:rsidP="00FB157D">
      <w:pPr>
        <w:spacing w:line="288" w:lineRule="auto"/>
        <w:jc w:val="both"/>
        <w:rPr>
          <w:lang w:eastAsia="ko-KR"/>
        </w:rPr>
      </w:pPr>
      <w:r>
        <w:rPr>
          <w:lang w:eastAsia="ko-KR"/>
        </w:rPr>
        <w:t>[1]</w:t>
      </w:r>
      <w:r w:rsidR="002A77FE">
        <w:rPr>
          <w:lang w:eastAsia="ko-KR"/>
        </w:rPr>
        <w:t xml:space="preserve"> </w:t>
      </w:r>
      <w:r w:rsidR="008129B6" w:rsidRPr="008129B6">
        <w:rPr>
          <w:lang w:eastAsia="ko-KR"/>
        </w:rPr>
        <w:t>R1-2001484</w:t>
      </w:r>
      <w:r w:rsidR="008129B6">
        <w:rPr>
          <w:lang w:eastAsia="ko-KR"/>
        </w:rPr>
        <w:t xml:space="preserve">, </w:t>
      </w:r>
      <w:r w:rsidR="008129B6" w:rsidRPr="008129B6">
        <w:rPr>
          <w:lang w:eastAsia="ko-KR"/>
        </w:rPr>
        <w:t>RAN1 UE features list for Rel-16 NR after RAN1#100-E</w:t>
      </w:r>
      <w:r w:rsidR="002A77FE">
        <w:rPr>
          <w:lang w:eastAsia="ko-KR"/>
        </w:rPr>
        <w:t xml:space="preserve">, AT&amp;T, </w:t>
      </w:r>
      <w:proofErr w:type="gramStart"/>
      <w:r w:rsidR="002A77FE">
        <w:rPr>
          <w:lang w:eastAsia="ko-KR"/>
        </w:rPr>
        <w:t>NTT</w:t>
      </w:r>
      <w:proofErr w:type="gramEnd"/>
      <w:r w:rsidR="002A77FE">
        <w:rPr>
          <w:lang w:eastAsia="ko-KR"/>
        </w:rPr>
        <w:t xml:space="preserve"> DOCOMO</w:t>
      </w:r>
    </w:p>
    <w:p w14:paraId="7598FDDD" w14:textId="0A0E603A" w:rsidR="00580A38" w:rsidRDefault="00245426" w:rsidP="00FB157D">
      <w:pPr>
        <w:spacing w:line="288" w:lineRule="auto"/>
        <w:jc w:val="both"/>
        <w:rPr>
          <w:lang w:eastAsia="ko-KR"/>
        </w:rPr>
      </w:pPr>
      <w:r>
        <w:rPr>
          <w:rFonts w:hint="eastAsia"/>
          <w:lang w:eastAsia="ko-KR"/>
        </w:rPr>
        <w:t xml:space="preserve">[2] </w:t>
      </w:r>
      <w:r w:rsidRPr="00245426">
        <w:rPr>
          <w:lang w:eastAsia="ko-KR"/>
        </w:rPr>
        <w:t>R1-1913581</w:t>
      </w:r>
      <w:r>
        <w:rPr>
          <w:lang w:eastAsia="ko-KR"/>
        </w:rPr>
        <w:t xml:space="preserve">, </w:t>
      </w:r>
      <w:r w:rsidRPr="00245426">
        <w:rPr>
          <w:lang w:eastAsia="ko-KR"/>
        </w:rPr>
        <w:t>Reply LS to RAN1&amp;4 on UE capabilities on DAPS HO</w:t>
      </w:r>
      <w:r>
        <w:rPr>
          <w:lang w:eastAsia="ko-KR"/>
        </w:rPr>
        <w:t>, RAN1</w:t>
      </w:r>
    </w:p>
    <w:p w14:paraId="23B7BE70" w14:textId="6B3FC0A5" w:rsidR="00D65FBF" w:rsidRPr="00D65FBF" w:rsidRDefault="00D65FBF" w:rsidP="00D65FBF">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D65FBF">
        <w:rPr>
          <w:rFonts w:eastAsia="DengXian" w:hint="eastAsia"/>
          <w:lang w:val="en-US" w:eastAsia="zh-CN"/>
        </w:rPr>
        <w:t>A</w:t>
      </w:r>
      <w:r w:rsidRPr="00D65FBF">
        <w:rPr>
          <w:rFonts w:eastAsia="DengXian"/>
          <w:lang w:val="en-US" w:eastAsia="zh-CN"/>
        </w:rPr>
        <w:t>NNEX</w:t>
      </w:r>
      <w:r w:rsidRPr="00D65FBF">
        <w:rPr>
          <w:rFonts w:eastAsia="DengXian" w:hint="eastAsia"/>
          <w:lang w:val="en-US" w:eastAsia="zh-CN"/>
        </w:rPr>
        <w:t>:</w:t>
      </w:r>
      <w:r w:rsidRPr="00D65FBF">
        <w:rPr>
          <w:rFonts w:eastAsia="DengXian"/>
          <w:lang w:val="en-US" w:eastAsia="zh-CN"/>
        </w:rPr>
        <w:t xml:space="preserve"> NR UE features for NR mobility enhancement</w:t>
      </w:r>
      <w:r>
        <w:rPr>
          <w:rFonts w:eastAsia="DengXian"/>
          <w:lang w:val="en-US" w:eastAsia="zh-CN"/>
        </w:rPr>
        <w:t xml:space="preserve"> [1]</w:t>
      </w:r>
      <w:r w:rsidRPr="00D65FBF">
        <w:rPr>
          <w:rFonts w:eastAsia="DengXian" w:hint="eastAsia"/>
          <w:lang w:val="en-US" w:eastAsia="zh-CN"/>
        </w:rPr>
        <w:t xml:space="preserve">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0"/>
        <w:gridCol w:w="7087"/>
      </w:tblGrid>
      <w:tr w:rsidR="00580A38" w:rsidRPr="00905B0B" w14:paraId="1FD1CD52"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48A8B782"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Index</w:t>
            </w:r>
          </w:p>
        </w:tc>
        <w:tc>
          <w:tcPr>
            <w:tcW w:w="1840" w:type="dxa"/>
            <w:tcBorders>
              <w:top w:val="single" w:sz="4" w:space="0" w:color="auto"/>
              <w:left w:val="single" w:sz="4" w:space="0" w:color="auto"/>
              <w:bottom w:val="single" w:sz="4" w:space="0" w:color="auto"/>
              <w:right w:val="single" w:sz="4" w:space="0" w:color="auto"/>
            </w:tcBorders>
            <w:hideMark/>
          </w:tcPr>
          <w:p w14:paraId="0B94D41E"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679A26DD" w14:textId="77777777" w:rsidR="00580A38" w:rsidRPr="00905B0B" w:rsidRDefault="00580A38" w:rsidP="002445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5B0B">
              <w:rPr>
                <w:rFonts w:ascii="Arial" w:eastAsia="Times New Roman" w:hAnsi="Arial"/>
                <w:b/>
                <w:sz w:val="18"/>
                <w:lang w:eastAsia="ja-JP"/>
              </w:rPr>
              <w:t>Components</w:t>
            </w:r>
          </w:p>
        </w:tc>
      </w:tr>
      <w:tr w:rsidR="00580A38" w:rsidRPr="00905B0B" w14:paraId="54198B24"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4EBE7EE2" w14:textId="77777777" w:rsidR="00580A38" w:rsidRPr="00905B0B" w:rsidRDefault="00580A38" w:rsidP="00244512">
            <w:pPr>
              <w:keepNext/>
              <w:keepLines/>
              <w:spacing w:after="0"/>
              <w:rPr>
                <w:rFonts w:ascii="Arial" w:eastAsia="SimSun" w:hAnsi="Arial"/>
                <w:sz w:val="18"/>
                <w:lang w:eastAsia="ja-JP"/>
              </w:rPr>
            </w:pPr>
            <w:r w:rsidRPr="00905B0B">
              <w:rPr>
                <w:rFonts w:ascii="Arial" w:eastAsia="SimSun" w:hAnsi="Arial" w:cs="Arial"/>
                <w:sz w:val="18"/>
                <w:szCs w:val="18"/>
                <w:lang w:eastAsia="ja-JP"/>
              </w:rPr>
              <w:t>21-1</w:t>
            </w:r>
          </w:p>
        </w:tc>
        <w:tc>
          <w:tcPr>
            <w:tcW w:w="1840" w:type="dxa"/>
            <w:tcBorders>
              <w:top w:val="single" w:sz="4" w:space="0" w:color="auto"/>
              <w:left w:val="single" w:sz="4" w:space="0" w:color="auto"/>
              <w:bottom w:val="single" w:sz="4" w:space="0" w:color="auto"/>
              <w:right w:val="single" w:sz="4" w:space="0" w:color="auto"/>
            </w:tcBorders>
            <w:hideMark/>
          </w:tcPr>
          <w:p w14:paraId="7D167180" w14:textId="77777777" w:rsidR="00580A38" w:rsidRPr="00905B0B" w:rsidRDefault="00580A38" w:rsidP="00244512">
            <w:pPr>
              <w:keepNext/>
              <w:keepLines/>
              <w:spacing w:after="0"/>
              <w:rPr>
                <w:rFonts w:eastAsia="SimSun"/>
                <w:sz w:val="18"/>
                <w:lang w:eastAsia="zh-CN"/>
              </w:rPr>
            </w:pPr>
            <w:r w:rsidRPr="00905B0B">
              <w:rPr>
                <w:rFonts w:ascii="Arial" w:eastAsia="SimSun" w:hAnsi="Arial" w:cs="Arial"/>
                <w:sz w:val="18"/>
                <w:szCs w:val="18"/>
                <w:lang w:eastAsia="zh-CN"/>
              </w:rPr>
              <w:t>DAPS HO</w:t>
            </w:r>
          </w:p>
        </w:tc>
        <w:tc>
          <w:tcPr>
            <w:tcW w:w="7087" w:type="dxa"/>
            <w:tcBorders>
              <w:top w:val="single" w:sz="4" w:space="0" w:color="auto"/>
              <w:left w:val="single" w:sz="4" w:space="0" w:color="auto"/>
              <w:bottom w:val="single" w:sz="4" w:space="0" w:color="auto"/>
              <w:right w:val="single" w:sz="4" w:space="0" w:color="auto"/>
            </w:tcBorders>
          </w:tcPr>
          <w:p w14:paraId="610D2DB0" w14:textId="77777777" w:rsidR="00580A38" w:rsidRPr="00905B0B" w:rsidRDefault="00580A38" w:rsidP="00244512">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For the Indicated support of intra-frequency DAPS-HO for a given [band] and indicated support of inter-frequency DAPS-HO for a given [band combination].</w:t>
            </w:r>
          </w:p>
          <w:p w14:paraId="519EB23F" w14:textId="77777777" w:rsidR="00580A38" w:rsidRPr="00905B0B" w:rsidRDefault="00580A38" w:rsidP="00244512">
            <w:pPr>
              <w:keepNext/>
              <w:keepLines/>
              <w:spacing w:after="0"/>
              <w:rPr>
                <w:rFonts w:ascii="Arial" w:eastAsia="SimSun" w:hAnsi="Arial" w:cs="Arial"/>
                <w:sz w:val="18"/>
                <w:szCs w:val="18"/>
                <w:lang w:eastAsia="zh-CN"/>
              </w:rPr>
            </w:pPr>
          </w:p>
          <w:p w14:paraId="5028F7A6" w14:textId="77777777" w:rsidR="00580A38" w:rsidRPr="00905B0B" w:rsidRDefault="00580A38" w:rsidP="00244512">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1) Indicates support of simultaneous DL reception of PDCCH and PDSCH from source and target cell in DAPS-HO</w:t>
            </w:r>
          </w:p>
          <w:p w14:paraId="4EB17033" w14:textId="77777777" w:rsidR="00580A38" w:rsidRPr="00905B0B" w:rsidRDefault="00580A38" w:rsidP="00244512">
            <w:pPr>
              <w:keepNext/>
              <w:keepLines/>
              <w:spacing w:after="0"/>
              <w:rPr>
                <w:rFonts w:ascii="Arial" w:eastAsia="SimSun" w:hAnsi="Arial" w:cs="Arial"/>
                <w:sz w:val="18"/>
                <w:szCs w:val="18"/>
                <w:lang w:eastAsia="zh-CN"/>
              </w:rPr>
            </w:pPr>
          </w:p>
          <w:p w14:paraId="082A26A7" w14:textId="77777777" w:rsidR="00580A38" w:rsidRPr="00905B0B" w:rsidRDefault="00580A38" w:rsidP="00244512">
            <w:pPr>
              <w:keepNext/>
              <w:keepLines/>
              <w:spacing w:after="0"/>
              <w:rPr>
                <w:rFonts w:ascii="Arial" w:eastAsia="SimSun" w:hAnsi="Arial"/>
                <w:lang w:eastAsia="zh-CN"/>
              </w:rPr>
            </w:pPr>
            <w:r w:rsidRPr="00905B0B">
              <w:rPr>
                <w:rFonts w:ascii="Arial" w:eastAsia="SimSun" w:hAnsi="Arial" w:cs="Arial"/>
                <w:sz w:val="18"/>
                <w:szCs w:val="18"/>
                <w:lang w:eastAsia="zh-CN"/>
              </w:rPr>
              <w:t>2) Indicates support of PDCCH blind decoding capability in the first MCG and second MCG.</w:t>
            </w:r>
          </w:p>
        </w:tc>
      </w:tr>
      <w:tr w:rsidR="00580A38" w:rsidRPr="00905B0B" w14:paraId="25610969"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72FBBFF0" w14:textId="77777777" w:rsidR="00580A38" w:rsidRPr="00905B0B" w:rsidRDefault="00580A38" w:rsidP="00244512">
            <w:pPr>
              <w:keepNext/>
              <w:keepLines/>
              <w:spacing w:after="0"/>
              <w:rPr>
                <w:rFonts w:ascii="Arial" w:eastAsia="SimSun" w:hAnsi="Arial"/>
                <w:sz w:val="18"/>
                <w:lang w:eastAsia="ja-JP"/>
              </w:rPr>
            </w:pPr>
            <w:r w:rsidRPr="00905B0B">
              <w:rPr>
                <w:rFonts w:ascii="Arial" w:eastAsia="SimSun" w:hAnsi="Arial" w:cs="Arial"/>
                <w:sz w:val="18"/>
                <w:szCs w:val="18"/>
                <w:lang w:eastAsia="ja-JP"/>
              </w:rPr>
              <w:t>21-2</w:t>
            </w:r>
          </w:p>
        </w:tc>
        <w:tc>
          <w:tcPr>
            <w:tcW w:w="1840" w:type="dxa"/>
            <w:tcBorders>
              <w:top w:val="single" w:sz="4" w:space="0" w:color="auto"/>
              <w:left w:val="single" w:sz="4" w:space="0" w:color="auto"/>
              <w:bottom w:val="single" w:sz="4" w:space="0" w:color="auto"/>
              <w:right w:val="single" w:sz="4" w:space="0" w:color="auto"/>
            </w:tcBorders>
            <w:hideMark/>
          </w:tcPr>
          <w:p w14:paraId="3EFF4E8D" w14:textId="77777777" w:rsidR="00580A38" w:rsidRPr="00905B0B" w:rsidRDefault="00580A38" w:rsidP="00244512">
            <w:pPr>
              <w:keepNext/>
              <w:keepLines/>
              <w:spacing w:after="0"/>
              <w:rPr>
                <w:rFonts w:eastAsia="SimSun"/>
                <w:sz w:val="18"/>
                <w:lang w:eastAsia="zh-CN"/>
              </w:rPr>
            </w:pPr>
            <w:r w:rsidRPr="00905B0B">
              <w:rPr>
                <w:rFonts w:ascii="Arial" w:eastAsia="SimSun" w:hAnsi="Arial" w:cs="Arial"/>
                <w:sz w:val="18"/>
                <w:szCs w:val="18"/>
                <w:lang w:eastAsia="zh-CN"/>
              </w:rPr>
              <w:t>UE power sharing for DAPS HO</w:t>
            </w:r>
          </w:p>
        </w:tc>
        <w:tc>
          <w:tcPr>
            <w:tcW w:w="7087" w:type="dxa"/>
            <w:tcBorders>
              <w:top w:val="single" w:sz="4" w:space="0" w:color="auto"/>
              <w:left w:val="single" w:sz="4" w:space="0" w:color="auto"/>
              <w:bottom w:val="single" w:sz="4" w:space="0" w:color="auto"/>
              <w:right w:val="single" w:sz="4" w:space="0" w:color="auto"/>
            </w:tcBorders>
          </w:tcPr>
          <w:p w14:paraId="63755482" w14:textId="77777777" w:rsidR="00580A38" w:rsidRPr="00905B0B" w:rsidRDefault="00580A38" w:rsidP="00244512">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ALT 1) Indicates support of dynamic UL power sharing during DAPS-HO operation.</w:t>
            </w:r>
          </w:p>
          <w:p w14:paraId="2737DE8A" w14:textId="77777777" w:rsidR="00580A38" w:rsidRPr="00905B0B" w:rsidRDefault="00580A38" w:rsidP="00244512">
            <w:pPr>
              <w:keepNext/>
              <w:keepLines/>
              <w:spacing w:after="0"/>
              <w:rPr>
                <w:rFonts w:ascii="Arial" w:eastAsia="SimSun" w:hAnsi="Arial"/>
                <w:lang w:eastAsia="zh-CN"/>
              </w:rPr>
            </w:pPr>
            <w:r w:rsidRPr="00905B0B">
              <w:rPr>
                <w:rFonts w:ascii="Arial" w:eastAsia="SimSun" w:hAnsi="Arial" w:cs="Arial"/>
                <w:sz w:val="18"/>
                <w:szCs w:val="18"/>
                <w:lang w:eastAsia="zh-CN"/>
              </w:rPr>
              <w:t>ALT 2) Indicates support of UL power sharing mode during DAPS-HO operation.</w:t>
            </w:r>
          </w:p>
        </w:tc>
      </w:tr>
      <w:tr w:rsidR="00580A38" w:rsidRPr="00905B0B" w14:paraId="2F2F79EA"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16B2BA3E" w14:textId="77777777" w:rsidR="00580A38" w:rsidRPr="00905B0B" w:rsidRDefault="00580A38" w:rsidP="00244512">
            <w:pPr>
              <w:keepNext/>
              <w:keepLines/>
              <w:spacing w:after="0"/>
              <w:rPr>
                <w:rFonts w:ascii="Arial" w:eastAsia="SimSun" w:hAnsi="Arial" w:cs="Arial"/>
                <w:sz w:val="18"/>
                <w:szCs w:val="18"/>
                <w:lang w:eastAsia="ja-JP"/>
              </w:rPr>
            </w:pPr>
            <w:r w:rsidRPr="00905B0B">
              <w:rPr>
                <w:rFonts w:ascii="Arial" w:eastAsia="SimSun" w:hAnsi="Arial" w:cs="Arial"/>
                <w:sz w:val="18"/>
                <w:szCs w:val="18"/>
                <w:lang w:eastAsia="ja-JP"/>
              </w:rPr>
              <w:t>21-2a</w:t>
            </w:r>
          </w:p>
        </w:tc>
        <w:tc>
          <w:tcPr>
            <w:tcW w:w="1840" w:type="dxa"/>
            <w:tcBorders>
              <w:top w:val="single" w:sz="4" w:space="0" w:color="auto"/>
              <w:left w:val="single" w:sz="4" w:space="0" w:color="auto"/>
              <w:bottom w:val="single" w:sz="4" w:space="0" w:color="auto"/>
              <w:right w:val="single" w:sz="4" w:space="0" w:color="auto"/>
            </w:tcBorders>
            <w:hideMark/>
          </w:tcPr>
          <w:p w14:paraId="619F9FBB" w14:textId="77777777" w:rsidR="00580A38" w:rsidRPr="00905B0B" w:rsidRDefault="00580A38" w:rsidP="00244512">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UL transmission cancellation</w:t>
            </w:r>
          </w:p>
        </w:tc>
        <w:tc>
          <w:tcPr>
            <w:tcW w:w="7087" w:type="dxa"/>
            <w:tcBorders>
              <w:top w:val="single" w:sz="4" w:space="0" w:color="auto"/>
              <w:left w:val="single" w:sz="4" w:space="0" w:color="auto"/>
              <w:bottom w:val="single" w:sz="4" w:space="0" w:color="auto"/>
              <w:right w:val="single" w:sz="4" w:space="0" w:color="auto"/>
            </w:tcBorders>
            <w:hideMark/>
          </w:tcPr>
          <w:p w14:paraId="43BFC683" w14:textId="77777777" w:rsidR="00580A38" w:rsidRPr="00905B0B" w:rsidRDefault="00580A38" w:rsidP="00244512">
            <w:pPr>
              <w:keepNext/>
              <w:keepLines/>
              <w:spacing w:after="0"/>
              <w:rPr>
                <w:rFonts w:ascii="Arial" w:eastAsia="SimSun" w:hAnsi="Arial" w:cs="Arial"/>
                <w:sz w:val="18"/>
                <w:szCs w:val="18"/>
                <w:lang w:eastAsia="zh-CN"/>
              </w:rPr>
            </w:pPr>
            <w:r w:rsidRPr="00905B0B">
              <w:rPr>
                <w:rFonts w:ascii="Arial" w:eastAsia="SimSun" w:hAnsi="Arial" w:cs="Arial"/>
                <w:sz w:val="18"/>
                <w:szCs w:val="18"/>
                <w:lang w:eastAsia="zh-CN"/>
              </w:rPr>
              <w:t>Indicates support of cancelling UL transmission to the source cell</w:t>
            </w:r>
          </w:p>
        </w:tc>
      </w:tr>
      <w:tr w:rsidR="00580A38" w:rsidRPr="00905B0B" w14:paraId="206DB8AF" w14:textId="77777777" w:rsidTr="00244512">
        <w:trPr>
          <w:trHeight w:val="20"/>
        </w:trPr>
        <w:tc>
          <w:tcPr>
            <w:tcW w:w="704" w:type="dxa"/>
            <w:tcBorders>
              <w:top w:val="single" w:sz="4" w:space="0" w:color="auto"/>
              <w:left w:val="single" w:sz="4" w:space="0" w:color="auto"/>
              <w:bottom w:val="single" w:sz="4" w:space="0" w:color="auto"/>
              <w:right w:val="single" w:sz="4" w:space="0" w:color="auto"/>
            </w:tcBorders>
            <w:hideMark/>
          </w:tcPr>
          <w:p w14:paraId="4B64D62E" w14:textId="77777777" w:rsidR="00580A38" w:rsidRPr="00905B0B" w:rsidRDefault="00580A38" w:rsidP="00244512">
            <w:pPr>
              <w:keepNext/>
              <w:keepLines/>
              <w:spacing w:after="0"/>
              <w:rPr>
                <w:rFonts w:ascii="Arial" w:eastAsia="SimSun" w:hAnsi="Arial"/>
                <w:sz w:val="18"/>
                <w:lang w:eastAsia="ja-JP"/>
              </w:rPr>
            </w:pPr>
            <w:r w:rsidRPr="00905B0B">
              <w:rPr>
                <w:rFonts w:ascii="Arial" w:eastAsia="SimSun" w:hAnsi="Arial" w:cs="Arial"/>
                <w:sz w:val="18"/>
                <w:szCs w:val="18"/>
                <w:lang w:eastAsia="ja-JP"/>
              </w:rPr>
              <w:t>21-3</w:t>
            </w:r>
          </w:p>
        </w:tc>
        <w:tc>
          <w:tcPr>
            <w:tcW w:w="1840" w:type="dxa"/>
            <w:tcBorders>
              <w:top w:val="single" w:sz="4" w:space="0" w:color="auto"/>
              <w:left w:val="single" w:sz="4" w:space="0" w:color="auto"/>
              <w:bottom w:val="single" w:sz="4" w:space="0" w:color="auto"/>
              <w:right w:val="single" w:sz="4" w:space="0" w:color="auto"/>
            </w:tcBorders>
            <w:hideMark/>
          </w:tcPr>
          <w:p w14:paraId="76798A2F" w14:textId="77777777" w:rsidR="00580A38" w:rsidRPr="00905B0B" w:rsidRDefault="00580A38" w:rsidP="00244512">
            <w:pPr>
              <w:keepNext/>
              <w:keepLines/>
              <w:spacing w:after="0"/>
              <w:rPr>
                <w:rFonts w:eastAsia="SimSun"/>
                <w:sz w:val="18"/>
                <w:lang w:eastAsia="zh-CN"/>
              </w:rPr>
            </w:pPr>
            <w:r w:rsidRPr="00905B0B">
              <w:rPr>
                <w:rFonts w:ascii="Arial" w:eastAsia="SimSun" w:hAnsi="Arial" w:cs="Arial"/>
                <w:sz w:val="18"/>
                <w:szCs w:val="18"/>
                <w:lang w:eastAsia="zh-CN"/>
              </w:rPr>
              <w:t>PDCCH blind detection for MCG1 and MCG2</w:t>
            </w:r>
          </w:p>
        </w:tc>
        <w:tc>
          <w:tcPr>
            <w:tcW w:w="7087" w:type="dxa"/>
            <w:tcBorders>
              <w:top w:val="single" w:sz="4" w:space="0" w:color="auto"/>
              <w:left w:val="single" w:sz="4" w:space="0" w:color="auto"/>
              <w:bottom w:val="single" w:sz="4" w:space="0" w:color="auto"/>
              <w:right w:val="single" w:sz="4" w:space="0" w:color="auto"/>
            </w:tcBorders>
            <w:hideMark/>
          </w:tcPr>
          <w:p w14:paraId="2FB7275C" w14:textId="77777777" w:rsidR="00580A38" w:rsidRPr="00905B0B" w:rsidRDefault="00580A38" w:rsidP="00244512">
            <w:pPr>
              <w:keepNext/>
              <w:keepLines/>
              <w:spacing w:after="0"/>
              <w:rPr>
                <w:rFonts w:ascii="Arial" w:eastAsia="SimSun" w:hAnsi="Arial"/>
                <w:lang w:eastAsia="zh-CN"/>
              </w:rPr>
            </w:pPr>
            <w:r w:rsidRPr="00905B0B">
              <w:rPr>
                <w:rFonts w:ascii="Arial" w:eastAsia="SimSun" w:hAnsi="Arial" w:cs="Arial"/>
                <w:sz w:val="18"/>
                <w:szCs w:val="18"/>
                <w:lang w:eastAsia="zh-CN"/>
              </w:rPr>
              <w:t>Indicates PDCCH blind decoding capability supported in the first MCG (intended for target cell in HO) and second MCG (intended for source cell in HO) when in DAPS-HO. Value range for both cells should be {1</w:t>
            </w:r>
            <w:proofErr w:type="gramStart"/>
            <w:r w:rsidRPr="00905B0B">
              <w:rPr>
                <w:rFonts w:ascii="Arial" w:eastAsia="SimSun" w:hAnsi="Arial" w:cs="Arial"/>
                <w:sz w:val="18"/>
                <w:szCs w:val="18"/>
                <w:lang w:eastAsia="zh-CN"/>
              </w:rPr>
              <w:t>, …,</w:t>
            </w:r>
            <w:proofErr w:type="gramEnd"/>
            <w:r w:rsidRPr="00905B0B">
              <w:rPr>
                <w:rFonts w:ascii="Arial" w:eastAsia="SimSun" w:hAnsi="Arial" w:cs="Arial"/>
                <w:sz w:val="18"/>
                <w:szCs w:val="18"/>
                <w:lang w:eastAsia="zh-CN"/>
              </w:rPr>
              <w:t xml:space="preserve"> 15}.</w:t>
            </w:r>
          </w:p>
        </w:tc>
      </w:tr>
    </w:tbl>
    <w:p w14:paraId="5C872BD0" w14:textId="77777777" w:rsidR="00580A38" w:rsidRPr="002A77FE" w:rsidRDefault="00580A38" w:rsidP="00FB157D">
      <w:pPr>
        <w:spacing w:line="288" w:lineRule="auto"/>
        <w:jc w:val="both"/>
        <w:rPr>
          <w:lang w:eastAsia="ko-KR"/>
        </w:rPr>
      </w:pPr>
      <w:bookmarkStart w:id="3" w:name="_GoBack"/>
      <w:bookmarkEnd w:id="3"/>
    </w:p>
    <w:sectPr w:rsidR="00580A38" w:rsidRPr="002A77FE"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EBF5A" w14:textId="77777777" w:rsidR="00875FCE" w:rsidRDefault="00875FCE">
      <w:r>
        <w:separator/>
      </w:r>
    </w:p>
  </w:endnote>
  <w:endnote w:type="continuationSeparator" w:id="0">
    <w:p w14:paraId="6BFF397D" w14:textId="77777777" w:rsidR="00875FCE" w:rsidRDefault="0087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9267E" w14:textId="77777777" w:rsidR="00875FCE" w:rsidRDefault="00875FCE">
      <w:r>
        <w:separator/>
      </w:r>
    </w:p>
  </w:footnote>
  <w:footnote w:type="continuationSeparator" w:id="0">
    <w:p w14:paraId="29D47F13" w14:textId="77777777" w:rsidR="00875FCE" w:rsidRDefault="0087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CE"/>
    <w:multiLevelType w:val="hybridMultilevel"/>
    <w:tmpl w:val="87E4C496"/>
    <w:lvl w:ilvl="0" w:tplc="26E4643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EC738B"/>
    <w:multiLevelType w:val="hybridMultilevel"/>
    <w:tmpl w:val="0AAA5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B1A7B"/>
    <w:multiLevelType w:val="hybridMultilevel"/>
    <w:tmpl w:val="E71CDB12"/>
    <w:lvl w:ilvl="0" w:tplc="DA7690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3FB52C2"/>
    <w:multiLevelType w:val="hybridMultilevel"/>
    <w:tmpl w:val="2A241F3E"/>
    <w:lvl w:ilvl="0" w:tplc="BD7E12C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3FF5F2B"/>
    <w:multiLevelType w:val="multilevel"/>
    <w:tmpl w:val="13867A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FF4B56"/>
    <w:multiLevelType w:val="hybridMultilevel"/>
    <w:tmpl w:val="CCD46406"/>
    <w:lvl w:ilvl="0" w:tplc="7F4048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AF5C9E"/>
    <w:multiLevelType w:val="hybridMultilevel"/>
    <w:tmpl w:val="2CF4FD30"/>
    <w:lvl w:ilvl="0" w:tplc="AFBA052E">
      <w:start w:val="2"/>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C2768B2"/>
    <w:multiLevelType w:val="hybridMultilevel"/>
    <w:tmpl w:val="881E839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E427C40"/>
    <w:multiLevelType w:val="hybridMultilevel"/>
    <w:tmpl w:val="CFF8E300"/>
    <w:lvl w:ilvl="0" w:tplc="1E8057C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5"/>
  </w:num>
  <w:num w:numId="3">
    <w:abstractNumId w:val="29"/>
  </w:num>
  <w:num w:numId="4">
    <w:abstractNumId w:val="41"/>
  </w:num>
  <w:num w:numId="5">
    <w:abstractNumId w:val="26"/>
  </w:num>
  <w:num w:numId="6">
    <w:abstractNumId w:val="38"/>
  </w:num>
  <w:num w:numId="7">
    <w:abstractNumId w:val="14"/>
  </w:num>
  <w:num w:numId="8">
    <w:abstractNumId w:val="24"/>
  </w:num>
  <w:num w:numId="9">
    <w:abstractNumId w:val="5"/>
  </w:num>
  <w:num w:numId="10">
    <w:abstractNumId w:val="19"/>
  </w:num>
  <w:num w:numId="11">
    <w:abstractNumId w:val="40"/>
  </w:num>
  <w:num w:numId="12">
    <w:abstractNumId w:val="13"/>
  </w:num>
  <w:num w:numId="13">
    <w:abstractNumId w:val="30"/>
  </w:num>
  <w:num w:numId="14">
    <w:abstractNumId w:val="20"/>
  </w:num>
  <w:num w:numId="15">
    <w:abstractNumId w:val="36"/>
  </w:num>
  <w:num w:numId="16">
    <w:abstractNumId w:val="21"/>
  </w:num>
  <w:num w:numId="17">
    <w:abstractNumId w:val="37"/>
  </w:num>
  <w:num w:numId="18">
    <w:abstractNumId w:val="2"/>
  </w:num>
  <w:num w:numId="19">
    <w:abstractNumId w:val="33"/>
  </w:num>
  <w:num w:numId="20">
    <w:abstractNumId w:val="16"/>
  </w:num>
  <w:num w:numId="21">
    <w:abstractNumId w:val="27"/>
  </w:num>
  <w:num w:numId="22">
    <w:abstractNumId w:val="23"/>
  </w:num>
  <w:num w:numId="23">
    <w:abstractNumId w:val="32"/>
  </w:num>
  <w:num w:numId="24">
    <w:abstractNumId w:val="10"/>
  </w:num>
  <w:num w:numId="25">
    <w:abstractNumId w:val="4"/>
  </w:num>
  <w:num w:numId="26">
    <w:abstractNumId w:val="18"/>
  </w:num>
  <w:num w:numId="27">
    <w:abstractNumId w:val="22"/>
  </w:num>
  <w:num w:numId="28">
    <w:abstractNumId w:val="12"/>
  </w:num>
  <w:num w:numId="29">
    <w:abstractNumId w:val="9"/>
  </w:num>
  <w:num w:numId="30">
    <w:abstractNumId w:val="34"/>
  </w:num>
  <w:num w:numId="31">
    <w:abstractNumId w:val="28"/>
  </w:num>
  <w:num w:numId="32">
    <w:abstractNumId w:val="31"/>
  </w:num>
  <w:num w:numId="33">
    <w:abstractNumId w:val="25"/>
  </w:num>
  <w:num w:numId="34">
    <w:abstractNumId w:val="0"/>
  </w:num>
  <w:num w:numId="35">
    <w:abstractNumId w:val="8"/>
  </w:num>
  <w:num w:numId="36">
    <w:abstractNumId w:val="8"/>
    <w:lvlOverride w:ilvl="0">
      <w:startOverride w:val="1"/>
    </w:lvlOverride>
  </w:num>
  <w:num w:numId="37">
    <w:abstractNumId w:val="1"/>
  </w:num>
  <w:num w:numId="38">
    <w:abstractNumId w:val="7"/>
  </w:num>
  <w:num w:numId="39">
    <w:abstractNumId w:val="3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
  </w:num>
  <w:num w:numId="44">
    <w:abstractNumId w:val="42"/>
  </w:num>
  <w:num w:numId="45">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DAC"/>
    <w:rsid w:val="000375ED"/>
    <w:rsid w:val="00037B9F"/>
    <w:rsid w:val="00040D18"/>
    <w:rsid w:val="00041416"/>
    <w:rsid w:val="0004152C"/>
    <w:rsid w:val="0004305A"/>
    <w:rsid w:val="00043BBA"/>
    <w:rsid w:val="00043F06"/>
    <w:rsid w:val="00045082"/>
    <w:rsid w:val="00045210"/>
    <w:rsid w:val="000467C2"/>
    <w:rsid w:val="00046AB8"/>
    <w:rsid w:val="00046EDE"/>
    <w:rsid w:val="0005019A"/>
    <w:rsid w:val="00050412"/>
    <w:rsid w:val="00051AFF"/>
    <w:rsid w:val="00052776"/>
    <w:rsid w:val="000528EB"/>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094"/>
    <w:rsid w:val="00082250"/>
    <w:rsid w:val="00083457"/>
    <w:rsid w:val="00083DE3"/>
    <w:rsid w:val="0008404D"/>
    <w:rsid w:val="0008461C"/>
    <w:rsid w:val="00084F49"/>
    <w:rsid w:val="00085ED9"/>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6004"/>
    <w:rsid w:val="000969D0"/>
    <w:rsid w:val="000969F4"/>
    <w:rsid w:val="00096B7D"/>
    <w:rsid w:val="00096F72"/>
    <w:rsid w:val="0009739B"/>
    <w:rsid w:val="00097753"/>
    <w:rsid w:val="00097AF5"/>
    <w:rsid w:val="00097B99"/>
    <w:rsid w:val="000A0FAC"/>
    <w:rsid w:val="000A1D31"/>
    <w:rsid w:val="000A26F4"/>
    <w:rsid w:val="000A2833"/>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559"/>
    <w:rsid w:val="0025287D"/>
    <w:rsid w:val="00252B96"/>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9CA"/>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528"/>
    <w:rsid w:val="002D4572"/>
    <w:rsid w:val="002D488B"/>
    <w:rsid w:val="002D4AD5"/>
    <w:rsid w:val="002D53AF"/>
    <w:rsid w:val="002D5B2B"/>
    <w:rsid w:val="002D5C7E"/>
    <w:rsid w:val="002D6D95"/>
    <w:rsid w:val="002D6FE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35C"/>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CAB"/>
    <w:rsid w:val="00561E70"/>
    <w:rsid w:val="00562A7C"/>
    <w:rsid w:val="0056320F"/>
    <w:rsid w:val="005678F0"/>
    <w:rsid w:val="00567B39"/>
    <w:rsid w:val="005726FE"/>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A7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5E0F"/>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2FBD"/>
    <w:rsid w:val="006A3341"/>
    <w:rsid w:val="006A55B4"/>
    <w:rsid w:val="006A5DCD"/>
    <w:rsid w:val="006A6FAD"/>
    <w:rsid w:val="006A7B16"/>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8D6"/>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34FD"/>
    <w:rsid w:val="007537B3"/>
    <w:rsid w:val="00753A41"/>
    <w:rsid w:val="00753E6F"/>
    <w:rsid w:val="00754252"/>
    <w:rsid w:val="00754BED"/>
    <w:rsid w:val="00754E83"/>
    <w:rsid w:val="00754EE9"/>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09C"/>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9CC"/>
    <w:rsid w:val="008C7A40"/>
    <w:rsid w:val="008D0B6C"/>
    <w:rsid w:val="008D165A"/>
    <w:rsid w:val="008D28D1"/>
    <w:rsid w:val="008D312B"/>
    <w:rsid w:val="008D324A"/>
    <w:rsid w:val="008D376A"/>
    <w:rsid w:val="008D3D6F"/>
    <w:rsid w:val="008D5A50"/>
    <w:rsid w:val="008D5BAB"/>
    <w:rsid w:val="008D6BEF"/>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1AB7"/>
    <w:rsid w:val="0096225A"/>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0E53"/>
    <w:rsid w:val="009B1469"/>
    <w:rsid w:val="009B189F"/>
    <w:rsid w:val="009B1DCA"/>
    <w:rsid w:val="009B2344"/>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583A"/>
    <w:rsid w:val="009D595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78E"/>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5FB4"/>
    <w:rsid w:val="00C16EDC"/>
    <w:rsid w:val="00C17342"/>
    <w:rsid w:val="00C17F52"/>
    <w:rsid w:val="00C20238"/>
    <w:rsid w:val="00C20467"/>
    <w:rsid w:val="00C20940"/>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11DA"/>
    <w:rsid w:val="00C31AEA"/>
    <w:rsid w:val="00C32284"/>
    <w:rsid w:val="00C328DB"/>
    <w:rsid w:val="00C32AC2"/>
    <w:rsid w:val="00C32C85"/>
    <w:rsid w:val="00C32DF9"/>
    <w:rsid w:val="00C333BD"/>
    <w:rsid w:val="00C33BE7"/>
    <w:rsid w:val="00C34812"/>
    <w:rsid w:val="00C34C81"/>
    <w:rsid w:val="00C352F6"/>
    <w:rsid w:val="00C35641"/>
    <w:rsid w:val="00C35867"/>
    <w:rsid w:val="00C359D2"/>
    <w:rsid w:val="00C35EDA"/>
    <w:rsid w:val="00C37963"/>
    <w:rsid w:val="00C414CA"/>
    <w:rsid w:val="00C41ADD"/>
    <w:rsid w:val="00C421B7"/>
    <w:rsid w:val="00C42CF4"/>
    <w:rsid w:val="00C42ED0"/>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658"/>
    <w:rsid w:val="00CB1F70"/>
    <w:rsid w:val="00CB25C5"/>
    <w:rsid w:val="00CB2C08"/>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860"/>
    <w:rsid w:val="00D40C40"/>
    <w:rsid w:val="00D40DAB"/>
    <w:rsid w:val="00D42028"/>
    <w:rsid w:val="00D4280A"/>
    <w:rsid w:val="00D43686"/>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624"/>
    <w:rsid w:val="00DE6BBD"/>
    <w:rsid w:val="00DE6E63"/>
    <w:rsid w:val="00DE714A"/>
    <w:rsid w:val="00DE7E05"/>
    <w:rsid w:val="00DF190C"/>
    <w:rsid w:val="00DF1A3C"/>
    <w:rsid w:val="00DF27CE"/>
    <w:rsid w:val="00DF2CB8"/>
    <w:rsid w:val="00DF2DC2"/>
    <w:rsid w:val="00DF3A66"/>
    <w:rsid w:val="00DF3E01"/>
    <w:rsid w:val="00DF3E32"/>
    <w:rsid w:val="00DF62B8"/>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4021F"/>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5E1"/>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70D92E1-6DA3-4A1B-BC96-BBB11F85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F6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H3 Char,h3 Char,no break Char,Underrubrik2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35"/>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2580C-00CF-4DDB-BF1E-1DE91A63C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715</Words>
  <Characters>4076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5</cp:revision>
  <cp:lastPrinted>2012-03-15T10:36:00Z</cp:lastPrinted>
  <dcterms:created xsi:type="dcterms:W3CDTF">2020-04-10T08:34:00Z</dcterms:created>
  <dcterms:modified xsi:type="dcterms:W3CDTF">2020-04-10T08:42:00Z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